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399" w:val="left" w:leader="none"/>
        </w:tabs>
        <w:spacing w:line="240" w:lineRule="auto"/>
        <w:ind w:left="24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4375" cy="300037"/>
            <wp:effectExtent l="0" t="0" r="0" b="0"/>
            <wp:docPr id="1" name="Image 1" descr="Minnesota Logo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Minnesota Logo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375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248257" cy="298989"/>
            <wp:effectExtent l="0" t="0" r="0" b="0"/>
            <wp:docPr id="2" name="Image 2" descr="Child and Teen Checkups Logo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hild and Teen Checkups Logo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257" cy="29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2"/>
        <w:rPr>
          <w:rFonts w:ascii="Times New Roman"/>
          <w:sz w:val="48"/>
        </w:rPr>
      </w:pPr>
    </w:p>
    <w:p>
      <w:pPr>
        <w:pStyle w:val="Title"/>
      </w:pPr>
      <w:bookmarkStart w:name="Tobacco, Alcohol, and Drug Use Risk Asse" w:id="1"/>
      <w:bookmarkEnd w:id="1"/>
      <w:r>
        <w:rPr>
          <w:b w:val="0"/>
        </w:rPr>
      </w:r>
      <w:r>
        <w:rPr>
          <w:color w:val="003864"/>
          <w:spacing w:val="-10"/>
        </w:rPr>
        <w:t>Tobacco,</w:t>
      </w:r>
      <w:r>
        <w:rPr>
          <w:color w:val="003864"/>
          <w:spacing w:val="-12"/>
        </w:rPr>
        <w:t> </w:t>
      </w:r>
      <w:r>
        <w:rPr>
          <w:color w:val="003864"/>
          <w:spacing w:val="-10"/>
        </w:rPr>
        <w:t>Alcohol,</w:t>
      </w:r>
      <w:r>
        <w:rPr>
          <w:color w:val="003864"/>
          <w:spacing w:val="-12"/>
        </w:rPr>
        <w:t> </w:t>
      </w:r>
      <w:r>
        <w:rPr>
          <w:color w:val="003864"/>
          <w:spacing w:val="-10"/>
        </w:rPr>
        <w:t>and</w:t>
      </w:r>
      <w:r>
        <w:rPr>
          <w:color w:val="003864"/>
          <w:spacing w:val="-13"/>
        </w:rPr>
        <w:t> </w:t>
      </w:r>
      <w:r>
        <w:rPr>
          <w:color w:val="003864"/>
          <w:spacing w:val="-10"/>
        </w:rPr>
        <w:t>Drug</w:t>
      </w:r>
      <w:r>
        <w:rPr>
          <w:color w:val="003864"/>
          <w:spacing w:val="-13"/>
        </w:rPr>
        <w:t> </w:t>
      </w:r>
      <w:r>
        <w:rPr>
          <w:color w:val="003864"/>
          <w:spacing w:val="-10"/>
        </w:rPr>
        <w:t>Use</w:t>
      </w:r>
      <w:r>
        <w:rPr>
          <w:color w:val="003864"/>
          <w:spacing w:val="-12"/>
        </w:rPr>
        <w:t> </w:t>
      </w:r>
      <w:r>
        <w:rPr>
          <w:color w:val="003864"/>
          <w:spacing w:val="-10"/>
        </w:rPr>
        <w:t>Risk</w:t>
      </w:r>
      <w:r>
        <w:rPr>
          <w:color w:val="003864"/>
          <w:spacing w:val="-15"/>
        </w:rPr>
        <w:t> </w:t>
      </w:r>
      <w:r>
        <w:rPr>
          <w:color w:val="003864"/>
          <w:spacing w:val="-10"/>
        </w:rPr>
        <w:t>Assessment</w:t>
      </w:r>
    </w:p>
    <w:p>
      <w:pPr>
        <w:spacing w:before="94"/>
        <w:ind w:left="140" w:right="1570" w:firstLine="0"/>
        <w:jc w:val="left"/>
        <w:rPr>
          <w:b/>
          <w:sz w:val="28"/>
        </w:rPr>
      </w:pPr>
      <w:r>
        <w:rPr>
          <w:b/>
          <w:color w:val="003864"/>
          <w:spacing w:val="20"/>
          <w:sz w:val="28"/>
        </w:rPr>
        <w:t>CH</w:t>
      </w:r>
      <w:r>
        <w:rPr>
          <w:b/>
          <w:color w:val="003864"/>
          <w:spacing w:val="-25"/>
          <w:sz w:val="28"/>
        </w:rPr>
        <w:t> </w:t>
      </w:r>
      <w:r>
        <w:rPr>
          <w:b/>
          <w:color w:val="003864"/>
          <w:sz w:val="28"/>
        </w:rPr>
        <w:t>I</w:t>
      </w:r>
      <w:r>
        <w:rPr>
          <w:b/>
          <w:color w:val="003864"/>
          <w:spacing w:val="-26"/>
          <w:sz w:val="28"/>
        </w:rPr>
        <w:t> </w:t>
      </w:r>
      <w:r>
        <w:rPr>
          <w:b/>
          <w:color w:val="003864"/>
          <w:sz w:val="28"/>
        </w:rPr>
        <w:t>L</w:t>
      </w:r>
      <w:r>
        <w:rPr>
          <w:b/>
          <w:color w:val="003864"/>
          <w:spacing w:val="-22"/>
          <w:sz w:val="28"/>
        </w:rPr>
        <w:t> </w:t>
      </w:r>
      <w:r>
        <w:rPr>
          <w:b/>
          <w:color w:val="003864"/>
          <w:sz w:val="28"/>
        </w:rPr>
        <w:t>D</w:t>
      </w:r>
      <w:r>
        <w:rPr>
          <w:b/>
          <w:color w:val="003864"/>
          <w:spacing w:val="78"/>
          <w:sz w:val="28"/>
        </w:rPr>
        <w:t> </w:t>
      </w:r>
      <w:r>
        <w:rPr>
          <w:b/>
          <w:color w:val="003864"/>
          <w:spacing w:val="20"/>
          <w:sz w:val="28"/>
        </w:rPr>
        <w:t>AN</w:t>
      </w:r>
      <w:r>
        <w:rPr>
          <w:b/>
          <w:color w:val="003864"/>
          <w:spacing w:val="-26"/>
          <w:sz w:val="28"/>
        </w:rPr>
        <w:t> </w:t>
      </w:r>
      <w:r>
        <w:rPr>
          <w:b/>
          <w:color w:val="003864"/>
          <w:sz w:val="28"/>
        </w:rPr>
        <w:t>D</w:t>
      </w:r>
      <w:r>
        <w:rPr>
          <w:b/>
          <w:color w:val="003864"/>
          <w:spacing w:val="78"/>
          <w:sz w:val="28"/>
        </w:rPr>
        <w:t> </w:t>
      </w:r>
      <w:r>
        <w:rPr>
          <w:b/>
          <w:color w:val="003864"/>
          <w:spacing w:val="20"/>
          <w:sz w:val="28"/>
        </w:rPr>
        <w:t>TE</w:t>
      </w:r>
      <w:r>
        <w:rPr>
          <w:b/>
          <w:color w:val="003864"/>
          <w:spacing w:val="-26"/>
          <w:sz w:val="28"/>
        </w:rPr>
        <w:t> </w:t>
      </w:r>
      <w:r>
        <w:rPr>
          <w:b/>
          <w:color w:val="003864"/>
          <w:sz w:val="28"/>
        </w:rPr>
        <w:t>E</w:t>
      </w:r>
      <w:r>
        <w:rPr>
          <w:b/>
          <w:color w:val="003864"/>
          <w:spacing w:val="-26"/>
          <w:sz w:val="28"/>
        </w:rPr>
        <w:t> </w:t>
      </w:r>
      <w:r>
        <w:rPr>
          <w:b/>
          <w:color w:val="003864"/>
          <w:sz w:val="28"/>
        </w:rPr>
        <w:t>N</w:t>
      </w:r>
      <w:r>
        <w:rPr>
          <w:b/>
          <w:color w:val="003864"/>
          <w:spacing w:val="80"/>
          <w:sz w:val="28"/>
        </w:rPr>
        <w:t> </w:t>
      </w:r>
      <w:r>
        <w:rPr>
          <w:b/>
          <w:color w:val="003864"/>
          <w:sz w:val="28"/>
        </w:rPr>
        <w:t>C</w:t>
      </w:r>
      <w:r>
        <w:rPr>
          <w:b/>
          <w:color w:val="003864"/>
          <w:spacing w:val="-25"/>
          <w:sz w:val="28"/>
        </w:rPr>
        <w:t> </w:t>
      </w:r>
      <w:r>
        <w:rPr>
          <w:b/>
          <w:color w:val="003864"/>
          <w:sz w:val="28"/>
        </w:rPr>
        <w:t>H</w:t>
      </w:r>
      <w:r>
        <w:rPr>
          <w:b/>
          <w:color w:val="003864"/>
          <w:spacing w:val="-23"/>
          <w:sz w:val="28"/>
        </w:rPr>
        <w:t> </w:t>
      </w:r>
      <w:r>
        <w:rPr>
          <w:b/>
          <w:color w:val="003864"/>
          <w:sz w:val="28"/>
        </w:rPr>
        <w:t>E</w:t>
      </w:r>
      <w:r>
        <w:rPr>
          <w:b/>
          <w:color w:val="003864"/>
          <w:spacing w:val="-26"/>
          <w:sz w:val="28"/>
        </w:rPr>
        <w:t> </w:t>
      </w:r>
      <w:r>
        <w:rPr>
          <w:b/>
          <w:color w:val="003864"/>
          <w:spacing w:val="20"/>
          <w:sz w:val="28"/>
        </w:rPr>
        <w:t>CK</w:t>
      </w:r>
      <w:r>
        <w:rPr>
          <w:b/>
          <w:color w:val="003864"/>
          <w:spacing w:val="-23"/>
          <w:sz w:val="28"/>
        </w:rPr>
        <w:t> </w:t>
      </w:r>
      <w:r>
        <w:rPr>
          <w:b/>
          <w:color w:val="003864"/>
          <w:sz w:val="28"/>
        </w:rPr>
        <w:t>U</w:t>
      </w:r>
      <w:r>
        <w:rPr>
          <w:b/>
          <w:color w:val="003864"/>
          <w:spacing w:val="-26"/>
          <w:sz w:val="28"/>
        </w:rPr>
        <w:t> </w:t>
      </w:r>
      <w:r>
        <w:rPr>
          <w:b/>
          <w:color w:val="003864"/>
          <w:sz w:val="28"/>
        </w:rPr>
        <w:t>P</w:t>
      </w:r>
      <w:r>
        <w:rPr>
          <w:b/>
          <w:color w:val="003864"/>
          <w:spacing w:val="-24"/>
          <w:sz w:val="28"/>
        </w:rPr>
        <w:t> </w:t>
      </w:r>
      <w:r>
        <w:rPr>
          <w:b/>
          <w:color w:val="003864"/>
          <w:sz w:val="28"/>
        </w:rPr>
        <w:t>S</w:t>
      </w:r>
      <w:r>
        <w:rPr>
          <w:b/>
          <w:color w:val="003864"/>
          <w:spacing w:val="79"/>
          <w:sz w:val="28"/>
        </w:rPr>
        <w:t> </w:t>
      </w:r>
      <w:r>
        <w:rPr>
          <w:b/>
          <w:color w:val="003864"/>
          <w:sz w:val="28"/>
        </w:rPr>
        <w:t>(</w:t>
      </w:r>
      <w:r>
        <w:rPr>
          <w:b/>
          <w:color w:val="003864"/>
          <w:spacing w:val="-24"/>
          <w:sz w:val="28"/>
        </w:rPr>
        <w:t> </w:t>
      </w:r>
      <w:r>
        <w:rPr>
          <w:b/>
          <w:color w:val="003864"/>
          <w:sz w:val="28"/>
        </w:rPr>
        <w:t>C</w:t>
      </w:r>
      <w:r>
        <w:rPr>
          <w:b/>
          <w:color w:val="003864"/>
          <w:spacing w:val="-25"/>
          <w:sz w:val="28"/>
        </w:rPr>
        <w:t> </w:t>
      </w:r>
      <w:r>
        <w:rPr>
          <w:b/>
          <w:color w:val="003864"/>
          <w:sz w:val="28"/>
        </w:rPr>
        <w:t>&amp;</w:t>
      </w:r>
      <w:r>
        <w:rPr>
          <w:b/>
          <w:color w:val="003864"/>
          <w:spacing w:val="-24"/>
          <w:sz w:val="28"/>
        </w:rPr>
        <w:t> </w:t>
      </w:r>
      <w:r>
        <w:rPr>
          <w:b/>
          <w:color w:val="003864"/>
          <w:spacing w:val="27"/>
          <w:sz w:val="28"/>
        </w:rPr>
        <w:t>TC)</w:t>
      </w:r>
      <w:r>
        <w:rPr>
          <w:b/>
          <w:color w:val="003864"/>
          <w:spacing w:val="76"/>
          <w:sz w:val="28"/>
        </w:rPr>
        <w:t> </w:t>
      </w:r>
      <w:r>
        <w:rPr>
          <w:b/>
          <w:color w:val="003864"/>
          <w:sz w:val="28"/>
        </w:rPr>
        <w:t>F</w:t>
      </w:r>
      <w:r>
        <w:rPr>
          <w:b/>
          <w:color w:val="003864"/>
          <w:spacing w:val="-25"/>
          <w:sz w:val="28"/>
        </w:rPr>
        <w:t> </w:t>
      </w:r>
      <w:r>
        <w:rPr>
          <w:b/>
          <w:color w:val="003864"/>
          <w:spacing w:val="20"/>
          <w:sz w:val="28"/>
        </w:rPr>
        <w:t>AC</w:t>
      </w:r>
      <w:r>
        <w:rPr>
          <w:b/>
          <w:color w:val="003864"/>
          <w:spacing w:val="-25"/>
          <w:sz w:val="28"/>
        </w:rPr>
        <w:t> </w:t>
      </w:r>
      <w:r>
        <w:rPr>
          <w:b/>
          <w:color w:val="003864"/>
          <w:sz w:val="28"/>
        </w:rPr>
        <w:t>T</w:t>
      </w:r>
      <w:r>
        <w:rPr>
          <w:b/>
          <w:color w:val="003864"/>
          <w:spacing w:val="80"/>
          <w:sz w:val="28"/>
        </w:rPr>
        <w:t> </w:t>
      </w:r>
      <w:r>
        <w:rPr>
          <w:b/>
          <w:color w:val="003864"/>
          <w:sz w:val="28"/>
        </w:rPr>
        <w:t>S</w:t>
      </w:r>
      <w:r>
        <w:rPr>
          <w:b/>
          <w:color w:val="003864"/>
          <w:spacing w:val="-26"/>
          <w:sz w:val="28"/>
        </w:rPr>
        <w:t> </w:t>
      </w:r>
      <w:r>
        <w:rPr>
          <w:b/>
          <w:color w:val="003864"/>
          <w:sz w:val="28"/>
        </w:rPr>
        <w:t>H</w:t>
      </w:r>
      <w:r>
        <w:rPr>
          <w:b/>
          <w:color w:val="003864"/>
          <w:spacing w:val="-23"/>
          <w:sz w:val="28"/>
        </w:rPr>
        <w:t> </w:t>
      </w:r>
      <w:r>
        <w:rPr>
          <w:b/>
          <w:color w:val="003864"/>
          <w:sz w:val="28"/>
        </w:rPr>
        <w:t>E</w:t>
      </w:r>
      <w:r>
        <w:rPr>
          <w:b/>
          <w:color w:val="003864"/>
          <w:spacing w:val="-23"/>
          <w:sz w:val="28"/>
        </w:rPr>
        <w:t> </w:t>
      </w:r>
      <w:r>
        <w:rPr>
          <w:b/>
          <w:color w:val="003864"/>
          <w:sz w:val="28"/>
        </w:rPr>
        <w:t>E</w:t>
      </w:r>
      <w:r>
        <w:rPr>
          <w:b/>
          <w:color w:val="003864"/>
          <w:spacing w:val="-26"/>
          <w:sz w:val="28"/>
        </w:rPr>
        <w:t> </w:t>
      </w:r>
      <w:r>
        <w:rPr>
          <w:b/>
          <w:color w:val="003864"/>
          <w:sz w:val="28"/>
        </w:rPr>
        <w:t>T</w:t>
      </w:r>
      <w:r>
        <w:rPr>
          <w:b/>
          <w:color w:val="003864"/>
          <w:spacing w:val="80"/>
          <w:sz w:val="28"/>
        </w:rPr>
        <w:t> </w:t>
      </w:r>
      <w:r>
        <w:rPr>
          <w:b/>
          <w:color w:val="003864"/>
          <w:sz w:val="28"/>
        </w:rPr>
        <w:t>F</w:t>
      </w:r>
      <w:r>
        <w:rPr>
          <w:b/>
          <w:color w:val="003864"/>
          <w:spacing w:val="-25"/>
          <w:sz w:val="28"/>
        </w:rPr>
        <w:t> </w:t>
      </w:r>
      <w:r>
        <w:rPr>
          <w:b/>
          <w:color w:val="003864"/>
          <w:sz w:val="28"/>
        </w:rPr>
        <w:t>O</w:t>
      </w:r>
      <w:r>
        <w:rPr>
          <w:b/>
          <w:color w:val="003864"/>
          <w:spacing w:val="-23"/>
          <w:sz w:val="28"/>
        </w:rPr>
        <w:t> </w:t>
      </w:r>
      <w:r>
        <w:rPr>
          <w:b/>
          <w:color w:val="003864"/>
          <w:sz w:val="28"/>
        </w:rPr>
        <w:t>R P</w:t>
      </w:r>
      <w:r>
        <w:rPr>
          <w:b/>
          <w:color w:val="003864"/>
          <w:spacing w:val="-15"/>
          <w:sz w:val="28"/>
        </w:rPr>
        <w:t> </w:t>
      </w:r>
      <w:r>
        <w:rPr>
          <w:b/>
          <w:color w:val="003864"/>
          <w:spacing w:val="20"/>
          <w:sz w:val="28"/>
        </w:rPr>
        <w:t>RI</w:t>
      </w:r>
      <w:r>
        <w:rPr>
          <w:b/>
          <w:color w:val="003864"/>
          <w:spacing w:val="-14"/>
          <w:sz w:val="28"/>
        </w:rPr>
        <w:t> </w:t>
      </w:r>
      <w:r>
        <w:rPr>
          <w:b/>
          <w:color w:val="003864"/>
          <w:sz w:val="28"/>
        </w:rPr>
        <w:t>M</w:t>
      </w:r>
      <w:r>
        <w:rPr>
          <w:b/>
          <w:color w:val="003864"/>
          <w:spacing w:val="-18"/>
          <w:sz w:val="28"/>
        </w:rPr>
        <w:t> </w:t>
      </w:r>
      <w:r>
        <w:rPr>
          <w:b/>
          <w:color w:val="003864"/>
          <w:sz w:val="28"/>
        </w:rPr>
        <w:t>A</w:t>
      </w:r>
      <w:r>
        <w:rPr>
          <w:b/>
          <w:color w:val="003864"/>
          <w:spacing w:val="-17"/>
          <w:sz w:val="28"/>
        </w:rPr>
        <w:t> </w:t>
      </w:r>
      <w:r>
        <w:rPr>
          <w:b/>
          <w:color w:val="003864"/>
          <w:spacing w:val="20"/>
          <w:sz w:val="28"/>
        </w:rPr>
        <w:t>RY</w:t>
      </w:r>
      <w:r>
        <w:rPr>
          <w:b/>
          <w:color w:val="003864"/>
          <w:spacing w:val="80"/>
          <w:sz w:val="28"/>
        </w:rPr>
        <w:t> </w:t>
      </w:r>
      <w:r>
        <w:rPr>
          <w:b/>
          <w:color w:val="003864"/>
          <w:sz w:val="28"/>
        </w:rPr>
        <w:t>C</w:t>
      </w:r>
      <w:r>
        <w:rPr>
          <w:b/>
          <w:color w:val="003864"/>
          <w:spacing w:val="-17"/>
          <w:sz w:val="28"/>
        </w:rPr>
        <w:t> </w:t>
      </w:r>
      <w:r>
        <w:rPr>
          <w:b/>
          <w:color w:val="003864"/>
          <w:spacing w:val="20"/>
          <w:sz w:val="28"/>
        </w:rPr>
        <w:t>AR</w:t>
      </w:r>
      <w:r>
        <w:rPr>
          <w:b/>
          <w:color w:val="003864"/>
          <w:spacing w:val="-17"/>
          <w:sz w:val="28"/>
        </w:rPr>
        <w:t> </w:t>
      </w:r>
      <w:r>
        <w:rPr>
          <w:b/>
          <w:color w:val="003864"/>
          <w:sz w:val="28"/>
        </w:rPr>
        <w:t>E</w:t>
      </w:r>
      <w:r>
        <w:rPr>
          <w:b/>
          <w:color w:val="003864"/>
          <w:spacing w:val="80"/>
          <w:sz w:val="28"/>
        </w:rPr>
        <w:t> </w:t>
      </w:r>
      <w:r>
        <w:rPr>
          <w:b/>
          <w:color w:val="003864"/>
          <w:sz w:val="28"/>
        </w:rPr>
        <w:t>P</w:t>
      </w:r>
      <w:r>
        <w:rPr>
          <w:b/>
          <w:color w:val="003864"/>
          <w:spacing w:val="-15"/>
          <w:sz w:val="28"/>
        </w:rPr>
        <w:t> </w:t>
      </w:r>
      <w:r>
        <w:rPr>
          <w:b/>
          <w:color w:val="003864"/>
          <w:spacing w:val="20"/>
          <w:sz w:val="28"/>
        </w:rPr>
        <w:t>RO</w:t>
      </w:r>
      <w:r>
        <w:rPr>
          <w:b/>
          <w:color w:val="003864"/>
          <w:spacing w:val="-18"/>
          <w:sz w:val="28"/>
        </w:rPr>
        <w:t> </w:t>
      </w:r>
      <w:r>
        <w:rPr>
          <w:b/>
          <w:color w:val="003864"/>
          <w:sz w:val="28"/>
        </w:rPr>
        <w:t>V</w:t>
      </w:r>
      <w:r>
        <w:rPr>
          <w:b/>
          <w:color w:val="003864"/>
          <w:spacing w:val="-14"/>
          <w:sz w:val="28"/>
        </w:rPr>
        <w:t> </w:t>
      </w:r>
      <w:r>
        <w:rPr>
          <w:b/>
          <w:color w:val="003864"/>
          <w:sz w:val="28"/>
        </w:rPr>
        <w:t>I</w:t>
      </w:r>
      <w:r>
        <w:rPr>
          <w:b/>
          <w:color w:val="003864"/>
          <w:spacing w:val="-18"/>
          <w:sz w:val="28"/>
        </w:rPr>
        <w:t> </w:t>
      </w:r>
      <w:r>
        <w:rPr>
          <w:b/>
          <w:color w:val="003864"/>
          <w:sz w:val="28"/>
        </w:rPr>
        <w:t>D</w:t>
      </w:r>
      <w:r>
        <w:rPr>
          <w:b/>
          <w:color w:val="003864"/>
          <w:spacing w:val="-13"/>
          <w:sz w:val="28"/>
        </w:rPr>
        <w:t> </w:t>
      </w:r>
      <w:r>
        <w:rPr>
          <w:b/>
          <w:color w:val="003864"/>
          <w:sz w:val="28"/>
        </w:rPr>
        <w:t>E</w:t>
      </w:r>
      <w:r>
        <w:rPr>
          <w:b/>
          <w:color w:val="003864"/>
          <w:spacing w:val="-18"/>
          <w:sz w:val="28"/>
        </w:rPr>
        <w:t> </w:t>
      </w:r>
      <w:r>
        <w:rPr>
          <w:b/>
          <w:color w:val="003864"/>
          <w:spacing w:val="20"/>
          <w:sz w:val="28"/>
        </w:rPr>
        <w:t>RS </w:t>
      </w:r>
    </w:p>
    <w:p>
      <w:pPr>
        <w:pStyle w:val="BodyText"/>
        <w:spacing w:before="5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894588</wp:posOffset>
                </wp:positionH>
                <wp:positionV relativeFrom="paragraph">
                  <wp:posOffset>107007</wp:posOffset>
                </wp:positionV>
                <wp:extent cx="5983605" cy="54102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983605" cy="541020"/>
                        </a:xfrm>
                        <a:prstGeom prst="rect">
                          <a:avLst/>
                        </a:prstGeom>
                        <a:solidFill>
                          <a:srgbClr val="D4EBFF"/>
                        </a:solidFill>
                        <a:ln w="6096">
                          <a:solidFill>
                            <a:srgbClr val="E9F5F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98"/>
                              <w:ind w:left="127" w:right="4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Physical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measurements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C&amp;TC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visits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differ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age.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Routine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accurate measurements monitor growth and detect growth abnormalities or associated issues.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0.440002pt;margin-top:8.425781pt;width:471.15pt;height:42.6pt;mso-position-horizontal-relative:page;mso-position-vertical-relative:paragraph;z-index:-15728640;mso-wrap-distance-left:0;mso-wrap-distance-right:0" type="#_x0000_t202" id="docshape1" filled="true" fillcolor="#d4ebff" stroked="true" strokeweight=".48pt" strokecolor="#e9f5ff">
                <v:textbox inset="0,0,0,0">
                  <w:txbxContent>
                    <w:p>
                      <w:pPr>
                        <w:pStyle w:val="BodyText"/>
                        <w:spacing w:before="98"/>
                        <w:ind w:left="127" w:right="44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Physical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measurements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required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at</w:t>
                      </w:r>
                      <w:r>
                        <w:rPr>
                          <w:color w:val="000000"/>
                          <w:spacing w:val="-1"/>
                        </w:rPr>
                        <w:t> </w:t>
                      </w:r>
                      <w:r>
                        <w:rPr>
                          <w:color w:val="000000"/>
                        </w:rPr>
                        <w:t>C&amp;TC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visits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differ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age.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Routine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accurate measurements monitor growth and detect growth abnormalities or associated issues.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6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720" w:bottom="280" w:left="1300" w:right="1300"/>
        </w:sectPr>
      </w:pPr>
    </w:p>
    <w:p>
      <w:pPr>
        <w:pStyle w:val="Heading1"/>
        <w:spacing w:before="28"/>
        <w:ind w:left="140"/>
      </w:pPr>
      <w:bookmarkStart w:name="C&amp;TC Requirements" w:id="2"/>
      <w:bookmarkEnd w:id="2"/>
      <w:r>
        <w:rPr>
          <w:b w:val="0"/>
        </w:rPr>
      </w:r>
      <w:r>
        <w:rPr>
          <w:color w:val="003864"/>
          <w:spacing w:val="-4"/>
        </w:rPr>
        <w:t>C&amp;TC</w:t>
      </w:r>
      <w:r>
        <w:rPr>
          <w:color w:val="003864"/>
          <w:spacing w:val="-12"/>
        </w:rPr>
        <w:t> </w:t>
      </w:r>
      <w:r>
        <w:rPr>
          <w:color w:val="003864"/>
          <w:spacing w:val="-2"/>
        </w:rPr>
        <w:t>Requirements</w:t>
      </w:r>
    </w:p>
    <w:p>
      <w:pPr>
        <w:pStyle w:val="Heading2"/>
        <w:spacing w:before="309"/>
      </w:pPr>
      <w:bookmarkStart w:name="General" w:id="3"/>
      <w:bookmarkEnd w:id="3"/>
      <w:r>
        <w:rPr/>
      </w:r>
      <w:r>
        <w:rPr>
          <w:color w:val="003864"/>
          <w:spacing w:val="-2"/>
        </w:rPr>
        <w:t>General</w:t>
      </w:r>
    </w:p>
    <w:p>
      <w:pPr>
        <w:pStyle w:val="BodyText"/>
        <w:spacing w:before="112"/>
        <w:ind w:left="140"/>
      </w:pPr>
      <w:r>
        <w:rPr/>
        <w:t>Tobacco (including vaping), alcohol, and drug</w:t>
      </w:r>
      <w:r>
        <w:rPr>
          <w:spacing w:val="-7"/>
        </w:rPr>
        <w:t> </w:t>
      </w:r>
      <w:r>
        <w:rPr/>
        <w:t>use</w:t>
      </w:r>
      <w:r>
        <w:rPr>
          <w:spacing w:val="-4"/>
        </w:rPr>
        <w:t> </w:t>
      </w:r>
      <w:r>
        <w:rPr/>
        <w:t>risk</w:t>
      </w:r>
      <w:r>
        <w:rPr>
          <w:spacing w:val="-6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all C&amp;TC visits for youth ages 11 through 20.</w:t>
      </w:r>
    </w:p>
    <w:p>
      <w:pPr>
        <w:spacing w:before="120"/>
        <w:ind w:left="139" w:right="147" w:firstLine="0"/>
        <w:jc w:val="left"/>
        <w:rPr>
          <w:sz w:val="24"/>
        </w:rPr>
      </w:pPr>
      <w:r>
        <w:rPr>
          <w:i/>
          <w:sz w:val="24"/>
        </w:rPr>
        <w:t>Note: Tobacco refers to the use of manufactured, commercial tobacco and nicotine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products,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products. </w:t>
      </w:r>
      <w:r>
        <w:rPr>
          <w:sz w:val="24"/>
        </w:rPr>
        <w:t>Refer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hyperlink r:id="rId7">
        <w:r>
          <w:rPr>
            <w:color w:val="003864"/>
            <w:sz w:val="24"/>
            <w:u w:val="single" w:color="003864"/>
          </w:rPr>
          <w:t>Traditional</w:t>
        </w:r>
        <w:r>
          <w:rPr>
            <w:color w:val="003864"/>
            <w:spacing w:val="-6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Tobacco</w:t>
        </w:r>
        <w:r>
          <w:rPr>
            <w:color w:val="003864"/>
            <w:spacing w:val="-6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and</w:t>
        </w:r>
        <w:r>
          <w:rPr>
            <w:color w:val="003864"/>
            <w:spacing w:val="-8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American</w:t>
        </w:r>
      </w:hyperlink>
      <w:r>
        <w:rPr>
          <w:color w:val="003864"/>
          <w:sz w:val="24"/>
        </w:rPr>
        <w:t> </w:t>
      </w:r>
      <w:hyperlink r:id="rId7">
        <w:r>
          <w:rPr>
            <w:color w:val="003864"/>
            <w:sz w:val="24"/>
            <w:u w:val="single" w:color="003864"/>
          </w:rPr>
          <w:t>Indian Communities in Minnesota</w:t>
        </w:r>
      </w:hyperlink>
      <w:r>
        <w:rPr>
          <w:sz w:val="24"/>
        </w:rPr>
        <w:t>.</w:t>
      </w:r>
    </w:p>
    <w:p>
      <w:pPr>
        <w:pStyle w:val="BodyText"/>
        <w:spacing w:before="35"/>
      </w:pPr>
    </w:p>
    <w:p>
      <w:pPr>
        <w:pStyle w:val="Heading2"/>
      </w:pPr>
      <w:bookmarkStart w:name="Personnel" w:id="4"/>
      <w:bookmarkEnd w:id="4"/>
      <w:r>
        <w:rPr/>
      </w:r>
      <w:r>
        <w:rPr>
          <w:color w:val="003864"/>
          <w:spacing w:val="-2"/>
        </w:rPr>
        <w:t>Personnel</w:t>
      </w:r>
    </w:p>
    <w:p>
      <w:pPr>
        <w:pStyle w:val="BodyText"/>
        <w:spacing w:before="113"/>
        <w:ind w:left="139" w:right="41"/>
      </w:pPr>
      <w:r>
        <w:rPr/>
        <w:t>A</w:t>
      </w:r>
      <w:r>
        <w:rPr>
          <w:spacing w:val="-6"/>
        </w:rPr>
        <w:t> </w:t>
      </w:r>
      <w:r>
        <w:rPr/>
        <w:t>licensed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care</w:t>
      </w:r>
      <w:r>
        <w:rPr>
          <w:spacing w:val="-8"/>
        </w:rPr>
        <w:t> </w:t>
      </w:r>
      <w:r>
        <w:rPr/>
        <w:t>provider</w:t>
      </w:r>
      <w:r>
        <w:rPr>
          <w:spacing w:val="-6"/>
        </w:rPr>
        <w:t> </w:t>
      </w:r>
      <w:r>
        <w:rPr/>
        <w:t>must</w:t>
      </w:r>
      <w:r>
        <w:rPr>
          <w:spacing w:val="-8"/>
        </w:rPr>
        <w:t> </w:t>
      </w:r>
      <w:r>
        <w:rPr/>
        <w:t>review and interpret the risk assessment: physician, nurse practitioner, physician assistant, or registered or public health nurse (RN or PHN) who has completed the C&amp;TC Comprehensive Screening training through the Minnesota Department of Health (MDH).</w:t>
      </w:r>
    </w:p>
    <w:p>
      <w:pPr>
        <w:pStyle w:val="BodyText"/>
        <w:spacing w:before="35"/>
      </w:pPr>
    </w:p>
    <w:p>
      <w:pPr>
        <w:pStyle w:val="Heading2"/>
      </w:pPr>
      <w:bookmarkStart w:name="Documentation" w:id="5"/>
      <w:bookmarkEnd w:id="5"/>
      <w:r>
        <w:rPr/>
      </w:r>
      <w:r>
        <w:rPr>
          <w:color w:val="003864"/>
          <w:spacing w:val="-2"/>
        </w:rPr>
        <w:t>Documentation</w:t>
      </w:r>
    </w:p>
    <w:p>
      <w:pPr>
        <w:pStyle w:val="BodyText"/>
        <w:spacing w:before="113"/>
        <w:ind w:left="140"/>
      </w:pPr>
      <w:r>
        <w:rPr/>
        <w:t>Documentation should indicate the tool used,</w:t>
      </w:r>
      <w:r>
        <w:rPr>
          <w:spacing w:val="-7"/>
        </w:rPr>
        <w:t> </w:t>
      </w:r>
      <w:r>
        <w:rPr/>
        <w:t>findings,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plan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address</w:t>
      </w:r>
      <w:r>
        <w:rPr>
          <w:spacing w:val="-5"/>
        </w:rPr>
        <w:t> </w:t>
      </w:r>
      <w:r>
        <w:rPr/>
        <w:t>results.</w:t>
      </w:r>
    </w:p>
    <w:p>
      <w:pPr>
        <w:pStyle w:val="BodyText"/>
        <w:spacing w:before="120"/>
        <w:ind w:left="140"/>
      </w:pPr>
      <w:r>
        <w:rPr/>
        <w:t>For</w:t>
      </w:r>
      <w:r>
        <w:rPr>
          <w:spacing w:val="-5"/>
        </w:rPr>
        <w:t> </w:t>
      </w:r>
      <w:r>
        <w:rPr/>
        <w:t>documentation</w:t>
      </w:r>
      <w:r>
        <w:rPr>
          <w:spacing w:val="-6"/>
        </w:rPr>
        <w:t> </w:t>
      </w:r>
      <w:r>
        <w:rPr/>
        <w:t>examples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use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a template with your electronic medical record, refer to the </w:t>
      </w:r>
      <w:hyperlink r:id="rId8">
        <w:r>
          <w:rPr>
            <w:color w:val="003864"/>
            <w:u w:val="single" w:color="003864"/>
          </w:rPr>
          <w:t>C&amp;TC Provider</w:t>
        </w:r>
      </w:hyperlink>
      <w:r>
        <w:rPr>
          <w:color w:val="003864"/>
        </w:rPr>
        <w:t> </w:t>
      </w:r>
      <w:hyperlink r:id="rId8">
        <w:r>
          <w:rPr>
            <w:color w:val="003864"/>
            <w:u w:val="single" w:color="003864"/>
          </w:rPr>
          <w:t>Documentation Forms</w:t>
        </w:r>
      </w:hyperlink>
      <w:r>
        <w:rPr/>
        <w:t>.</w:t>
      </w:r>
    </w:p>
    <w:p>
      <w:pPr>
        <w:pStyle w:val="Heading1"/>
        <w:spacing w:before="28"/>
        <w:ind w:left="140"/>
      </w:pPr>
      <w:r>
        <w:rPr>
          <w:b w:val="0"/>
        </w:rPr>
        <w:br w:type="column"/>
      </w:r>
      <w:bookmarkStart w:name="Procedure" w:id="6"/>
      <w:bookmarkEnd w:id="6"/>
      <w:r>
        <w:rPr>
          <w:b w:val="0"/>
        </w:rPr>
      </w:r>
      <w:r>
        <w:rPr>
          <w:color w:val="003864"/>
          <w:spacing w:val="-2"/>
        </w:rPr>
        <w:t>Procedure</w:t>
      </w:r>
    </w:p>
    <w:p>
      <w:pPr>
        <w:pStyle w:val="BodyText"/>
        <w:spacing w:before="99"/>
        <w:ind w:left="139" w:right="239"/>
      </w:pPr>
      <w:r>
        <w:rPr/>
        <w:t>Perform</w:t>
      </w:r>
      <w:r>
        <w:rPr>
          <w:spacing w:val="-6"/>
        </w:rPr>
        <w:t> </w:t>
      </w:r>
      <w:r>
        <w:rPr/>
        <w:t>substance</w:t>
      </w:r>
      <w:r>
        <w:rPr>
          <w:spacing w:val="-7"/>
        </w:rPr>
        <w:t> </w:t>
      </w:r>
      <w:r>
        <w:rPr/>
        <w:t>use</w:t>
      </w:r>
      <w:r>
        <w:rPr>
          <w:spacing w:val="-6"/>
        </w:rPr>
        <w:t> </w:t>
      </w:r>
      <w:r>
        <w:rPr/>
        <w:t>risk</w:t>
      </w:r>
      <w:r>
        <w:rPr>
          <w:spacing w:val="-7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 one-to-one conversation with the patient without a parent or guardian present.</w:t>
      </w:r>
    </w:p>
    <w:p>
      <w:pPr>
        <w:pStyle w:val="BodyText"/>
        <w:spacing w:before="0"/>
        <w:ind w:left="139" w:right="239"/>
      </w:pPr>
      <w:r>
        <w:rPr/>
        <w:t>Inform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patient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parent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guardian of </w:t>
      </w:r>
      <w:hyperlink r:id="rId9">
        <w:r>
          <w:rPr>
            <w:color w:val="003864"/>
            <w:u w:val="single" w:color="003864"/>
          </w:rPr>
          <w:t>Minnesota’s minor’s consent law MN</w:t>
        </w:r>
      </w:hyperlink>
      <w:r>
        <w:rPr>
          <w:color w:val="003864"/>
        </w:rPr>
        <w:t> </w:t>
      </w:r>
      <w:hyperlink r:id="rId9">
        <w:r>
          <w:rPr>
            <w:color w:val="003864"/>
            <w:u w:val="single" w:color="003864"/>
          </w:rPr>
          <w:t>Statute § 144.343</w:t>
        </w:r>
      </w:hyperlink>
      <w:r>
        <w:rPr/>
        <w:t>.</w:t>
      </w:r>
    </w:p>
    <w:p>
      <w:pPr>
        <w:pStyle w:val="BodyText"/>
        <w:spacing w:before="38"/>
      </w:pPr>
    </w:p>
    <w:p>
      <w:pPr>
        <w:pStyle w:val="Heading2"/>
      </w:pPr>
      <w:bookmarkStart w:name="Tools to Assess Risk" w:id="7"/>
      <w:bookmarkEnd w:id="7"/>
      <w:r>
        <w:rPr/>
      </w:r>
      <w:r>
        <w:rPr>
          <w:color w:val="003864"/>
        </w:rPr>
        <w:t>Tools</w:t>
      </w:r>
      <w:r>
        <w:rPr>
          <w:color w:val="003864"/>
          <w:spacing w:val="-7"/>
        </w:rPr>
        <w:t> </w:t>
      </w:r>
      <w:r>
        <w:rPr>
          <w:color w:val="003864"/>
        </w:rPr>
        <w:t>to</w:t>
      </w:r>
      <w:r>
        <w:rPr>
          <w:color w:val="003864"/>
          <w:spacing w:val="-7"/>
        </w:rPr>
        <w:t> </w:t>
      </w:r>
      <w:r>
        <w:rPr>
          <w:color w:val="003864"/>
        </w:rPr>
        <w:t>Assess</w:t>
      </w:r>
      <w:r>
        <w:rPr>
          <w:color w:val="003864"/>
          <w:spacing w:val="-7"/>
        </w:rPr>
        <w:t> </w:t>
      </w:r>
      <w:r>
        <w:rPr>
          <w:color w:val="003864"/>
          <w:spacing w:val="-4"/>
        </w:rPr>
        <w:t>Risk</w:t>
      </w:r>
    </w:p>
    <w:p>
      <w:pPr>
        <w:pStyle w:val="BodyText"/>
        <w:spacing w:before="110"/>
        <w:ind w:left="140"/>
      </w:pPr>
      <w:r>
        <w:rPr/>
        <w:t>Risk assessment can be done through a patient</w:t>
      </w:r>
      <w:r>
        <w:rPr>
          <w:spacing w:val="-8"/>
        </w:rPr>
        <w:t> </w:t>
      </w:r>
      <w:r>
        <w:rPr/>
        <w:t>questionnaire,</w:t>
      </w:r>
      <w:r>
        <w:rPr>
          <w:spacing w:val="-8"/>
        </w:rPr>
        <w:t> </w:t>
      </w:r>
      <w:r>
        <w:rPr/>
        <w:t>an</w:t>
      </w:r>
      <w:r>
        <w:rPr>
          <w:spacing w:val="-5"/>
        </w:rPr>
        <w:t> </w:t>
      </w:r>
      <w:r>
        <w:rPr/>
        <w:t>interview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 clinician, or by using a screening tool.</w:t>
      </w:r>
    </w:p>
    <w:p>
      <w:pPr>
        <w:pStyle w:val="BodyText"/>
        <w:spacing w:before="120"/>
        <w:ind w:left="139"/>
      </w:pPr>
      <w:hyperlink r:id="rId10">
        <w:r>
          <w:rPr>
            <w:color w:val="003864"/>
            <w:u w:val="single" w:color="003864"/>
          </w:rPr>
          <w:t>Adolescent Substance Use Screening Tools</w:t>
        </w:r>
      </w:hyperlink>
      <w:r>
        <w:rPr>
          <w:color w:val="003864"/>
        </w:rPr>
        <w:t> </w:t>
      </w:r>
      <w:r>
        <w:rPr/>
        <w:t>include the Brief Screener for Alcohol, Tobacco, and other Drugs (BSTAD) and the Screening to Brief Intervention (S2BI). Both are</w:t>
      </w:r>
      <w:r>
        <w:rPr>
          <w:spacing w:val="-6"/>
        </w:rPr>
        <w:t> </w:t>
      </w:r>
      <w:r>
        <w:rPr/>
        <w:t>designed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adolescents</w:t>
      </w:r>
      <w:r>
        <w:rPr>
          <w:spacing w:val="-9"/>
        </w:rPr>
        <w:t> </w:t>
      </w:r>
      <w:r>
        <w:rPr/>
        <w:t>12-17</w:t>
      </w:r>
      <w:r>
        <w:rPr>
          <w:spacing w:val="-6"/>
        </w:rPr>
        <w:t> </w:t>
      </w:r>
      <w:r>
        <w:rPr/>
        <w:t>years</w:t>
      </w:r>
      <w:r>
        <w:rPr>
          <w:spacing w:val="-7"/>
        </w:rPr>
        <w:t> </w:t>
      </w:r>
      <w:r>
        <w:rPr/>
        <w:t>of age. The </w:t>
      </w:r>
      <w:hyperlink r:id="rId11">
        <w:r>
          <w:rPr>
            <w:color w:val="003864"/>
            <w:u w:val="single" w:color="003864"/>
          </w:rPr>
          <w:t>CRAFFT</w:t>
        </w:r>
      </w:hyperlink>
      <w:r>
        <w:rPr>
          <w:color w:val="003864"/>
        </w:rPr>
        <w:t> </w:t>
      </w:r>
      <w:r>
        <w:rPr/>
        <w:t>is a tool to guide brief intervention and treatment steps (Levy &amp; Williams, 2016).</w:t>
      </w:r>
    </w:p>
    <w:p>
      <w:pPr>
        <w:pStyle w:val="BodyText"/>
        <w:spacing w:before="121"/>
        <w:ind w:left="140" w:right="179"/>
      </w:pPr>
      <w:r>
        <w:rPr/>
        <w:t>The Global Appraisal of Individual Needs Short Screener (GAIN-SS) is a validated instrument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screens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both</w:t>
      </w:r>
      <w:r>
        <w:rPr>
          <w:spacing w:val="-6"/>
        </w:rPr>
        <w:t> </w:t>
      </w:r>
      <w:r>
        <w:rPr/>
        <w:t>substance use and general mental health. Minnesota Health Care Program enrolled providers have free access to this tool at </w:t>
      </w:r>
      <w:hyperlink r:id="rId12">
        <w:r>
          <w:rPr>
            <w:color w:val="003864"/>
            <w:u w:val="single" w:color="003864"/>
          </w:rPr>
          <w:t>GAIN-SS</w:t>
        </w:r>
      </w:hyperlink>
      <w:r>
        <w:rPr>
          <w:color w:val="003864"/>
        </w:rPr>
        <w:t> </w:t>
      </w:r>
      <w:hyperlink r:id="rId12">
        <w:r>
          <w:rPr>
            <w:color w:val="003864"/>
            <w:spacing w:val="-2"/>
            <w:u w:val="single" w:color="003864"/>
          </w:rPr>
          <w:t>Materials</w:t>
        </w:r>
      </w:hyperlink>
      <w:r>
        <w:rPr>
          <w:spacing w:val="-2"/>
        </w:rPr>
        <w:t>.</w:t>
      </w:r>
    </w:p>
    <w:p>
      <w:pPr>
        <w:spacing w:after="0"/>
        <w:sectPr>
          <w:type w:val="continuous"/>
          <w:pgSz w:w="12240" w:h="15840"/>
          <w:pgMar w:top="720" w:bottom="280" w:left="1300" w:right="1300"/>
          <w:cols w:num="2" w:equalWidth="0">
            <w:col w:w="4464" w:space="576"/>
            <w:col w:w="4600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6"/>
        <w:rPr>
          <w:sz w:val="20"/>
        </w:rPr>
      </w:pPr>
    </w:p>
    <w:p>
      <w:pPr>
        <w:spacing w:before="0"/>
        <w:ind w:left="0" w:right="41" w:firstLine="0"/>
        <w:jc w:val="center"/>
        <w:rPr>
          <w:sz w:val="20"/>
        </w:rPr>
      </w:pPr>
      <w:r>
        <w:rPr>
          <w:color w:val="003864"/>
          <w:spacing w:val="-10"/>
          <w:sz w:val="20"/>
        </w:rPr>
        <w:t>1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720" w:bottom="280" w:left="1300" w:right="1300"/>
        </w:sectPr>
      </w:pPr>
    </w:p>
    <w:p>
      <w:pPr>
        <w:pStyle w:val="BodyText"/>
        <w:spacing w:before="22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3"/>
          <w:footerReference w:type="default" r:id="rId14"/>
          <w:pgSz w:w="12240" w:h="15840"/>
          <w:pgMar w:header="834" w:footer="881" w:top="1020" w:bottom="1080" w:left="1300" w:right="1300"/>
          <w:pgNumType w:start="2"/>
        </w:sectPr>
      </w:pPr>
    </w:p>
    <w:p>
      <w:pPr>
        <w:pStyle w:val="Heading2"/>
        <w:spacing w:before="65"/>
      </w:pPr>
      <w:bookmarkStart w:name="Follow-Up" w:id="8"/>
      <w:bookmarkEnd w:id="8"/>
      <w:r>
        <w:rPr/>
      </w:r>
      <w:r>
        <w:rPr>
          <w:color w:val="003864"/>
          <w:spacing w:val="-2"/>
        </w:rPr>
        <w:t>Follow-</w:t>
      </w:r>
      <w:r>
        <w:rPr>
          <w:color w:val="003864"/>
          <w:spacing w:val="-7"/>
        </w:rPr>
        <w:t>Up</w:t>
      </w:r>
    </w:p>
    <w:p>
      <w:pPr>
        <w:pStyle w:val="BodyText"/>
        <w:spacing w:before="111"/>
        <w:ind w:left="139"/>
      </w:pPr>
      <w:r>
        <w:rPr/>
        <w:t>Universal</w:t>
      </w:r>
      <w:r>
        <w:rPr>
          <w:spacing w:val="-1"/>
        </w:rPr>
        <w:t> </w:t>
      </w:r>
      <w:hyperlink r:id="rId15">
        <w:r>
          <w:rPr>
            <w:color w:val="003864"/>
            <w:u w:val="single" w:color="003864"/>
          </w:rPr>
          <w:t>Screening,</w:t>
        </w:r>
        <w:r>
          <w:rPr>
            <w:color w:val="003864"/>
            <w:spacing w:val="-4"/>
            <w:u w:val="single" w:color="003864"/>
          </w:rPr>
          <w:t> </w:t>
        </w:r>
        <w:r>
          <w:rPr>
            <w:color w:val="003864"/>
            <w:u w:val="single" w:color="003864"/>
          </w:rPr>
          <w:t>Brief Intervention,</w:t>
        </w:r>
        <w:r>
          <w:rPr>
            <w:color w:val="003864"/>
            <w:spacing w:val="-1"/>
            <w:u w:val="single" w:color="003864"/>
          </w:rPr>
          <w:t> </w:t>
        </w:r>
        <w:r>
          <w:rPr>
            <w:color w:val="003864"/>
            <w:u w:val="single" w:color="003864"/>
          </w:rPr>
          <w:t>and</w:t>
        </w:r>
      </w:hyperlink>
      <w:r>
        <w:rPr>
          <w:color w:val="003864"/>
        </w:rPr>
        <w:t> </w:t>
      </w:r>
      <w:hyperlink r:id="rId15">
        <w:r>
          <w:rPr>
            <w:color w:val="003864"/>
            <w:u w:val="single" w:color="003864"/>
          </w:rPr>
          <w:t>Referral to Treatment (SBIRT)</w:t>
        </w:r>
      </w:hyperlink>
      <w:r>
        <w:rPr>
          <w:color w:val="003864"/>
        </w:rPr>
        <w:t> </w:t>
      </w:r>
      <w:r>
        <w:rPr/>
        <w:t>is a recommended approach to identify the range of a young person’s substance use, from abstinence to addiction, and provide appropriate</w:t>
      </w:r>
      <w:r>
        <w:rPr>
          <w:spacing w:val="-6"/>
        </w:rPr>
        <w:t> </w:t>
      </w:r>
      <w:r>
        <w:rPr/>
        <w:t>intervention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every</w:t>
      </w:r>
      <w:r>
        <w:rPr>
          <w:spacing w:val="-7"/>
        </w:rPr>
        <w:t> </w:t>
      </w:r>
      <w:r>
        <w:rPr/>
        <w:t>visit</w:t>
      </w:r>
      <w:r>
        <w:rPr>
          <w:spacing w:val="-8"/>
        </w:rPr>
        <w:t> </w:t>
      </w:r>
      <w:r>
        <w:rPr/>
        <w:t>(Levy &amp; Williams, 2016).</w:t>
      </w:r>
    </w:p>
    <w:p>
      <w:pPr>
        <w:pStyle w:val="BodyText"/>
        <w:spacing w:before="121"/>
        <w:ind w:left="139" w:right="207"/>
      </w:pPr>
      <w:r>
        <w:rPr/>
        <w:t>Whenever possible, manage children and adolescents with substance use disorders collaboratively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child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adolescent mental</w:t>
      </w:r>
      <w:r>
        <w:rPr>
          <w:spacing w:val="-2"/>
        </w:rPr>
        <w:t> </w:t>
      </w:r>
      <w:r>
        <w:rPr/>
        <w:t>health or</w:t>
      </w:r>
      <w:r>
        <w:rPr>
          <w:spacing w:val="-2"/>
        </w:rPr>
        <w:t> </w:t>
      </w:r>
      <w:r>
        <w:rPr/>
        <w:t>addiction specialist (Levy &amp; Williams, 2016).</w:t>
      </w:r>
    </w:p>
    <w:p>
      <w:pPr>
        <w:pStyle w:val="BodyText"/>
        <w:ind w:left="139"/>
      </w:pPr>
      <w:r>
        <w:rPr/>
        <w:t>Advise</w:t>
      </w:r>
      <w:r>
        <w:rPr>
          <w:spacing w:val="-5"/>
        </w:rPr>
        <w:t> </w:t>
      </w:r>
      <w:r>
        <w:rPr/>
        <w:t>patients,</w:t>
      </w:r>
      <w:r>
        <w:rPr>
          <w:spacing w:val="-8"/>
        </w:rPr>
        <w:t> </w:t>
      </w:r>
      <w:r>
        <w:rPr/>
        <w:t>parents,</w:t>
      </w:r>
      <w:r>
        <w:rPr>
          <w:spacing w:val="-8"/>
        </w:rPr>
        <w:t> </w:t>
      </w:r>
      <w:r>
        <w:rPr/>
        <w:t>or</w:t>
      </w:r>
      <w:r>
        <w:rPr>
          <w:spacing w:val="-5"/>
        </w:rPr>
        <w:t> </w:t>
      </w:r>
      <w:r>
        <w:rPr/>
        <w:t>caregivers</w:t>
      </w:r>
      <w:r>
        <w:rPr>
          <w:spacing w:val="-6"/>
        </w:rPr>
        <w:t> </w:t>
      </w:r>
      <w:r>
        <w:rPr/>
        <w:t>who use tobacco products to quit and give resources</w:t>
      </w:r>
      <w:r>
        <w:rPr>
          <w:spacing w:val="-7"/>
        </w:rPr>
        <w:t> </w:t>
      </w:r>
      <w:r>
        <w:rPr/>
        <w:t>found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hyperlink r:id="rId16">
        <w:r>
          <w:rPr>
            <w:color w:val="003864"/>
            <w:u w:val="single" w:color="003864"/>
          </w:rPr>
          <w:t>Quit</w:t>
        </w:r>
        <w:r>
          <w:rPr>
            <w:color w:val="003864"/>
            <w:spacing w:val="-6"/>
            <w:u w:val="single" w:color="003864"/>
          </w:rPr>
          <w:t> </w:t>
        </w:r>
        <w:r>
          <w:rPr>
            <w:color w:val="003864"/>
            <w:u w:val="single" w:color="003864"/>
          </w:rPr>
          <w:t>Partner</w:t>
        </w:r>
      </w:hyperlink>
      <w:r>
        <w:rPr/>
        <w:t>.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 programs tailored to teens, American Indians, pregnant people, and individuals with mental illness. Visit the “Make a Referral” link to have the program contact </w:t>
      </w:r>
      <w:r>
        <w:rPr>
          <w:spacing w:val="-2"/>
        </w:rPr>
        <w:t>clients.</w:t>
      </w:r>
    </w:p>
    <w:p>
      <w:pPr>
        <w:pStyle w:val="BodyText"/>
        <w:spacing w:before="68"/>
      </w:pPr>
    </w:p>
    <w:p>
      <w:pPr>
        <w:pStyle w:val="Heading1"/>
        <w:spacing w:line="192" w:lineRule="auto"/>
        <w:ind w:left="140" w:right="1624"/>
      </w:pPr>
      <w:bookmarkStart w:name="Importance of Risk Assessment" w:id="9"/>
      <w:bookmarkEnd w:id="9"/>
      <w:r>
        <w:rPr>
          <w:b w:val="0"/>
        </w:rPr>
      </w:r>
      <w:r>
        <w:rPr>
          <w:color w:val="003864"/>
          <w:spacing w:val="-4"/>
        </w:rPr>
        <w:t>Importance</w:t>
      </w:r>
      <w:r>
        <w:rPr>
          <w:color w:val="003864"/>
          <w:spacing w:val="-17"/>
        </w:rPr>
        <w:t> </w:t>
      </w:r>
      <w:r>
        <w:rPr>
          <w:color w:val="003864"/>
          <w:spacing w:val="-4"/>
        </w:rPr>
        <w:t>of</w:t>
      </w:r>
      <w:r>
        <w:rPr>
          <w:color w:val="003864"/>
          <w:spacing w:val="-16"/>
        </w:rPr>
        <w:t> </w:t>
      </w:r>
      <w:r>
        <w:rPr>
          <w:color w:val="003864"/>
          <w:spacing w:val="-4"/>
        </w:rPr>
        <w:t>Risk </w:t>
      </w:r>
      <w:r>
        <w:rPr>
          <w:color w:val="003864"/>
          <w:spacing w:val="-2"/>
        </w:rPr>
        <w:t>Assessment</w:t>
      </w:r>
    </w:p>
    <w:p>
      <w:pPr>
        <w:pStyle w:val="BodyText"/>
        <w:spacing w:before="120"/>
        <w:ind w:left="139"/>
      </w:pPr>
      <w:r>
        <w:rPr/>
        <w:t>Adolescent</w:t>
      </w:r>
      <w:r>
        <w:rPr>
          <w:spacing w:val="-1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use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 an increased risk of motor vehicle crashes, emergency</w:t>
      </w:r>
      <w:r>
        <w:rPr>
          <w:spacing w:val="-10"/>
        </w:rPr>
        <w:t> </w:t>
      </w:r>
      <w:r>
        <w:rPr/>
        <w:t>department</w:t>
      </w:r>
      <w:r>
        <w:rPr>
          <w:spacing w:val="-10"/>
        </w:rPr>
        <w:t> </w:t>
      </w:r>
      <w:r>
        <w:rPr/>
        <w:t>visits,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suicide.</w:t>
      </w:r>
      <w:r>
        <w:rPr>
          <w:spacing w:val="-7"/>
        </w:rPr>
        <w:t> </w:t>
      </w:r>
      <w:r>
        <w:rPr/>
        <w:t>It can alter brain development and negatively affect academic, occupational, and social functioning in adulthood (Levy &amp; Williams, </w:t>
      </w:r>
      <w:r>
        <w:rPr>
          <w:spacing w:val="-2"/>
        </w:rPr>
        <w:t>2016).</w:t>
      </w:r>
    </w:p>
    <w:p>
      <w:pPr>
        <w:pStyle w:val="BodyText"/>
        <w:ind w:left="139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2022</w:t>
      </w:r>
      <w:r>
        <w:rPr>
          <w:spacing w:val="-7"/>
        </w:rPr>
        <w:t> </w:t>
      </w:r>
      <w:r>
        <w:rPr/>
        <w:t>Minnesota</w:t>
      </w:r>
      <w:r>
        <w:rPr>
          <w:spacing w:val="-7"/>
        </w:rPr>
        <w:t> </w:t>
      </w:r>
      <w:r>
        <w:rPr/>
        <w:t>Student</w:t>
      </w:r>
      <w:r>
        <w:rPr>
          <w:spacing w:val="-7"/>
        </w:rPr>
        <w:t> </w:t>
      </w:r>
      <w:r>
        <w:rPr/>
        <w:t>Survey,</w:t>
      </w:r>
      <w:r>
        <w:rPr>
          <w:spacing w:val="-7"/>
        </w:rPr>
        <w:t> </w:t>
      </w:r>
      <w:r>
        <w:rPr/>
        <w:t>17% of 11th-grade students reported drinking alcoholic beverages, 12% reported using marijuana, 14% reported vaping, and 5% reported smoking cigarettes (conventional tobacco) in the past 30 days (Minnesota Department of Health, 2023).</w:t>
      </w:r>
    </w:p>
    <w:p>
      <w:pPr>
        <w:pStyle w:val="Heading1"/>
        <w:spacing w:line="192" w:lineRule="auto" w:before="96"/>
      </w:pPr>
      <w:r>
        <w:rPr>
          <w:b w:val="0"/>
        </w:rPr>
        <w:br w:type="column"/>
      </w:r>
      <w:bookmarkStart w:name="Professional Recommendations" w:id="10"/>
      <w:bookmarkEnd w:id="10"/>
      <w:r>
        <w:rPr>
          <w:b w:val="0"/>
        </w:rPr>
      </w:r>
      <w:r>
        <w:rPr>
          <w:color w:val="003864"/>
          <w:spacing w:val="-2"/>
        </w:rPr>
        <w:t>Professional </w:t>
      </w:r>
      <w:r>
        <w:rPr>
          <w:color w:val="003864"/>
          <w:spacing w:val="-6"/>
        </w:rPr>
        <w:t>Recommendations</w:t>
      </w:r>
    </w:p>
    <w:p>
      <w:pPr>
        <w:pStyle w:val="Heading2"/>
        <w:spacing w:before="330"/>
        <w:ind w:left="139"/>
      </w:pPr>
      <w:bookmarkStart w:name="American Academy of Pediatrics" w:id="11"/>
      <w:bookmarkEnd w:id="11"/>
      <w:r>
        <w:rPr/>
      </w:r>
      <w:r>
        <w:rPr>
          <w:color w:val="003864"/>
        </w:rPr>
        <w:t>American</w:t>
      </w:r>
      <w:r>
        <w:rPr>
          <w:color w:val="003864"/>
          <w:spacing w:val="-10"/>
        </w:rPr>
        <w:t> </w:t>
      </w:r>
      <w:r>
        <w:rPr>
          <w:color w:val="003864"/>
        </w:rPr>
        <w:t>Academy</w:t>
      </w:r>
      <w:r>
        <w:rPr>
          <w:color w:val="003864"/>
          <w:spacing w:val="-10"/>
        </w:rPr>
        <w:t> </w:t>
      </w:r>
      <w:r>
        <w:rPr>
          <w:color w:val="003864"/>
        </w:rPr>
        <w:t>of</w:t>
      </w:r>
      <w:r>
        <w:rPr>
          <w:color w:val="003864"/>
          <w:spacing w:val="-9"/>
        </w:rPr>
        <w:t> </w:t>
      </w:r>
      <w:r>
        <w:rPr>
          <w:color w:val="003864"/>
          <w:spacing w:val="-2"/>
        </w:rPr>
        <w:t>Pediatrics</w:t>
      </w:r>
    </w:p>
    <w:p>
      <w:pPr>
        <w:pStyle w:val="BodyText"/>
        <w:spacing w:before="110"/>
        <w:ind w:left="139" w:right="191"/>
      </w:pPr>
      <w:r>
        <w:rPr/>
        <w:t>Screen all adolescents for substance use with a validated screening tool at every visit.</w:t>
      </w:r>
      <w:r>
        <w:rPr>
          <w:spacing w:val="-7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brief</w:t>
      </w:r>
      <w:r>
        <w:rPr>
          <w:spacing w:val="-5"/>
        </w:rPr>
        <w:t> </w:t>
      </w:r>
      <w:r>
        <w:rPr/>
        <w:t>intervention and</w:t>
      </w:r>
      <w:r>
        <w:rPr>
          <w:spacing w:val="-7"/>
        </w:rPr>
        <w:t> </w:t>
      </w:r>
      <w:r>
        <w:rPr/>
        <w:t>referral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indicated</w:t>
      </w:r>
      <w:r>
        <w:rPr>
          <w:spacing w:val="-7"/>
        </w:rPr>
        <w:t> </w:t>
      </w:r>
      <w:r>
        <w:rPr/>
        <w:t>(Levy &amp; Williams, 2016).</w:t>
      </w:r>
    </w:p>
    <w:p>
      <w:pPr>
        <w:pStyle w:val="BodyText"/>
        <w:spacing w:before="0"/>
      </w:pPr>
    </w:p>
    <w:p>
      <w:pPr>
        <w:pStyle w:val="Heading1"/>
      </w:pPr>
      <w:bookmarkStart w:name="Resources" w:id="12"/>
      <w:bookmarkEnd w:id="12"/>
      <w:r>
        <w:rPr>
          <w:b w:val="0"/>
        </w:rPr>
      </w:r>
      <w:r>
        <w:rPr>
          <w:color w:val="003864"/>
          <w:spacing w:val="-2"/>
        </w:rPr>
        <w:t>Resources</w:t>
      </w:r>
    </w:p>
    <w:p>
      <w:pPr>
        <w:pStyle w:val="Heading2"/>
        <w:spacing w:line="216" w:lineRule="auto" w:before="339"/>
        <w:ind w:left="139" w:right="179"/>
      </w:pPr>
      <w:bookmarkStart w:name="Minnesota Department of Human Services" w:id="13"/>
      <w:bookmarkEnd w:id="13"/>
      <w:r>
        <w:rPr/>
      </w:r>
      <w:r>
        <w:rPr>
          <w:color w:val="003864"/>
        </w:rPr>
        <w:t>Minnesota</w:t>
      </w:r>
      <w:r>
        <w:rPr>
          <w:color w:val="003864"/>
          <w:spacing w:val="-19"/>
        </w:rPr>
        <w:t> </w:t>
      </w:r>
      <w:r>
        <w:rPr>
          <w:color w:val="003864"/>
        </w:rPr>
        <w:t>Department</w:t>
      </w:r>
      <w:r>
        <w:rPr>
          <w:color w:val="003864"/>
          <w:spacing w:val="-18"/>
        </w:rPr>
        <w:t> </w:t>
      </w:r>
      <w:r>
        <w:rPr>
          <w:color w:val="003864"/>
        </w:rPr>
        <w:t>of Human Services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21" w:after="0"/>
        <w:ind w:left="499" w:right="1122" w:hanging="360"/>
        <w:jc w:val="left"/>
        <w:rPr>
          <w:sz w:val="24"/>
          <w:u w:val="none"/>
        </w:rPr>
      </w:pPr>
      <w:hyperlink r:id="rId17">
        <w:r>
          <w:rPr>
            <w:color w:val="003864"/>
            <w:sz w:val="24"/>
            <w:u w:val="single" w:color="003864"/>
          </w:rPr>
          <w:t>C&amp;TC</w:t>
        </w:r>
        <w:r>
          <w:rPr>
            <w:color w:val="003864"/>
            <w:spacing w:val="-12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Schedule</w:t>
        </w:r>
        <w:r>
          <w:rPr>
            <w:color w:val="003864"/>
            <w:spacing w:val="-13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of</w:t>
        </w:r>
        <w:r>
          <w:rPr>
            <w:color w:val="003864"/>
            <w:spacing w:val="-11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Age-Related</w:t>
        </w:r>
      </w:hyperlink>
      <w:r>
        <w:rPr>
          <w:color w:val="003864"/>
          <w:sz w:val="24"/>
          <w:u w:val="none"/>
        </w:rPr>
        <w:t> </w:t>
      </w:r>
      <w:hyperlink r:id="rId17">
        <w:r>
          <w:rPr>
            <w:color w:val="003864"/>
            <w:sz w:val="24"/>
            <w:u w:val="single" w:color="003864"/>
          </w:rPr>
          <w:t>Screening Standards</w:t>
        </w:r>
      </w:hyperlink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19" w:after="0"/>
        <w:ind w:left="499" w:right="172" w:hanging="360"/>
        <w:jc w:val="left"/>
        <w:rPr>
          <w:sz w:val="24"/>
          <w:u w:val="none"/>
        </w:rPr>
      </w:pPr>
      <w:hyperlink r:id="rId18">
        <w:r>
          <w:rPr>
            <w:color w:val="003864"/>
            <w:sz w:val="24"/>
            <w:u w:val="single" w:color="003864"/>
          </w:rPr>
          <w:t>Minnesota Health Care Programs</w:t>
        </w:r>
      </w:hyperlink>
      <w:r>
        <w:rPr>
          <w:color w:val="003864"/>
          <w:sz w:val="24"/>
          <w:u w:val="none"/>
        </w:rPr>
        <w:t> </w:t>
      </w:r>
      <w:hyperlink r:id="rId18">
        <w:r>
          <w:rPr>
            <w:color w:val="003864"/>
            <w:sz w:val="24"/>
            <w:u w:val="single" w:color="003864"/>
          </w:rPr>
          <w:t>(MHCP)</w:t>
        </w:r>
        <w:r>
          <w:rPr>
            <w:color w:val="003864"/>
            <w:spacing w:val="-7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Provider</w:t>
        </w:r>
        <w:r>
          <w:rPr>
            <w:color w:val="003864"/>
            <w:spacing w:val="-8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Manual</w:t>
        </w:r>
        <w:r>
          <w:rPr>
            <w:color w:val="003864"/>
            <w:spacing w:val="-8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-</w:t>
        </w:r>
        <w:r>
          <w:rPr>
            <w:color w:val="003864"/>
            <w:spacing w:val="-6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C&amp;TC</w:t>
        </w:r>
        <w:r>
          <w:rPr>
            <w:color w:val="003864"/>
            <w:spacing w:val="-7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Section</w:t>
        </w:r>
      </w:hyperlink>
    </w:p>
    <w:p>
      <w:pPr>
        <w:pStyle w:val="BodyText"/>
        <w:spacing w:before="67"/>
      </w:pPr>
    </w:p>
    <w:p>
      <w:pPr>
        <w:pStyle w:val="Heading2"/>
        <w:spacing w:line="216" w:lineRule="auto"/>
        <w:ind w:left="139" w:right="275"/>
      </w:pPr>
      <w:bookmarkStart w:name="Minnesota Department of Health" w:id="14"/>
      <w:bookmarkEnd w:id="14"/>
      <w:r>
        <w:rPr/>
      </w:r>
      <w:r>
        <w:rPr>
          <w:color w:val="003864"/>
        </w:rPr>
        <w:t>Minnesota</w:t>
      </w:r>
      <w:r>
        <w:rPr>
          <w:color w:val="003864"/>
          <w:spacing w:val="-19"/>
        </w:rPr>
        <w:t> </w:t>
      </w:r>
      <w:r>
        <w:rPr>
          <w:color w:val="003864"/>
        </w:rPr>
        <w:t>Department</w:t>
      </w:r>
      <w:r>
        <w:rPr>
          <w:color w:val="003864"/>
          <w:spacing w:val="-18"/>
        </w:rPr>
        <w:t> </w:t>
      </w:r>
      <w:r>
        <w:rPr>
          <w:color w:val="003864"/>
        </w:rPr>
        <w:t>of </w:t>
      </w:r>
      <w:r>
        <w:rPr>
          <w:color w:val="003864"/>
          <w:spacing w:val="-2"/>
        </w:rPr>
        <w:t>Health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20" w:after="0"/>
        <w:ind w:left="499" w:right="0" w:hanging="360"/>
        <w:jc w:val="left"/>
        <w:rPr>
          <w:sz w:val="24"/>
          <w:u w:val="none"/>
        </w:rPr>
      </w:pPr>
      <w:hyperlink r:id="rId19">
        <w:r>
          <w:rPr>
            <w:color w:val="003864"/>
            <w:sz w:val="24"/>
            <w:u w:val="single" w:color="003864"/>
          </w:rPr>
          <w:t>Child</w:t>
        </w:r>
        <w:r>
          <w:rPr>
            <w:color w:val="003864"/>
            <w:spacing w:val="-1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and</w:t>
        </w:r>
        <w:r>
          <w:rPr>
            <w:color w:val="003864"/>
            <w:spacing w:val="-2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Teen</w:t>
        </w:r>
        <w:r>
          <w:rPr>
            <w:color w:val="003864"/>
            <w:spacing w:val="-1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Checkups</w:t>
        </w:r>
        <w:r>
          <w:rPr>
            <w:color w:val="003864"/>
            <w:spacing w:val="-1"/>
            <w:sz w:val="24"/>
            <w:u w:val="single" w:color="003864"/>
          </w:rPr>
          <w:t> </w:t>
        </w:r>
        <w:r>
          <w:rPr>
            <w:color w:val="003864"/>
            <w:spacing w:val="-2"/>
            <w:sz w:val="24"/>
            <w:u w:val="single" w:color="003864"/>
          </w:rPr>
          <w:t>(C&amp;TC)</w:t>
        </w:r>
      </w:hyperlink>
    </w:p>
    <w:p>
      <w:pPr>
        <w:pStyle w:val="BodyText"/>
        <w:spacing w:before="36"/>
      </w:pPr>
    </w:p>
    <w:p>
      <w:pPr>
        <w:pStyle w:val="Heading2"/>
        <w:ind w:left="139"/>
      </w:pPr>
      <w:bookmarkStart w:name="Other Resources" w:id="15"/>
      <w:bookmarkEnd w:id="15"/>
      <w:r>
        <w:rPr/>
      </w:r>
      <w:r>
        <w:rPr>
          <w:color w:val="003864"/>
        </w:rPr>
        <w:t>Other</w:t>
      </w:r>
      <w:r>
        <w:rPr>
          <w:color w:val="003864"/>
          <w:spacing w:val="-11"/>
        </w:rPr>
        <w:t> </w:t>
      </w:r>
      <w:r>
        <w:rPr>
          <w:color w:val="003864"/>
          <w:spacing w:val="-2"/>
        </w:rPr>
        <w:t>Resources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13" w:after="0"/>
        <w:ind w:left="499" w:right="0" w:hanging="360"/>
        <w:jc w:val="left"/>
        <w:rPr>
          <w:sz w:val="24"/>
          <w:u w:val="none"/>
        </w:rPr>
      </w:pPr>
      <w:hyperlink r:id="rId20">
        <w:r>
          <w:rPr>
            <w:color w:val="003864"/>
            <w:sz w:val="24"/>
            <w:u w:val="single" w:color="003864"/>
          </w:rPr>
          <w:t>Fast</w:t>
        </w:r>
        <w:r>
          <w:rPr>
            <w:color w:val="003864"/>
            <w:spacing w:val="-3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Tracker</w:t>
        </w:r>
        <w:r>
          <w:rPr>
            <w:color w:val="003864"/>
            <w:spacing w:val="-3"/>
            <w:sz w:val="24"/>
            <w:u w:val="single" w:color="003864"/>
          </w:rPr>
          <w:t> </w:t>
        </w:r>
        <w:r>
          <w:rPr>
            <w:color w:val="003864"/>
            <w:spacing w:val="-5"/>
            <w:sz w:val="24"/>
            <w:u w:val="single" w:color="003864"/>
          </w:rPr>
          <w:t>MN</w:t>
        </w:r>
      </w:hyperlink>
    </w:p>
    <w:p>
      <w:pPr>
        <w:pStyle w:val="Heading1"/>
        <w:spacing w:before="291"/>
      </w:pPr>
      <w:bookmarkStart w:name="References" w:id="16"/>
      <w:bookmarkEnd w:id="16"/>
      <w:r>
        <w:rPr>
          <w:b w:val="0"/>
        </w:rPr>
      </w:r>
      <w:r>
        <w:rPr>
          <w:color w:val="003864"/>
          <w:spacing w:val="-2"/>
        </w:rPr>
        <w:t>References</w:t>
      </w:r>
    </w:p>
    <w:p>
      <w:pPr>
        <w:spacing w:before="102"/>
        <w:ind w:left="139" w:right="179" w:firstLine="0"/>
        <w:jc w:val="left"/>
        <w:rPr>
          <w:i/>
          <w:sz w:val="18"/>
        </w:rPr>
      </w:pPr>
      <w:r>
        <w:rPr>
          <w:sz w:val="18"/>
        </w:rPr>
        <w:t>Levy, S., &amp; Williams, J. (2016). Substance Use Screening, Brief</w:t>
      </w:r>
      <w:r>
        <w:rPr>
          <w:spacing w:val="-6"/>
          <w:sz w:val="18"/>
        </w:rPr>
        <w:t> </w:t>
      </w:r>
      <w:r>
        <w:rPr>
          <w:sz w:val="18"/>
        </w:rPr>
        <w:t>Intervention,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Referral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Treatment.</w:t>
      </w:r>
      <w:r>
        <w:rPr>
          <w:spacing w:val="-6"/>
          <w:sz w:val="18"/>
        </w:rPr>
        <w:t> </w:t>
      </w:r>
      <w:r>
        <w:rPr>
          <w:i/>
          <w:sz w:val="18"/>
        </w:rPr>
        <w:t>Pediatrics,</w:t>
      </w:r>
    </w:p>
    <w:p>
      <w:pPr>
        <w:spacing w:line="219" w:lineRule="exact" w:before="0"/>
        <w:ind w:left="139" w:right="0" w:firstLine="0"/>
        <w:jc w:val="left"/>
        <w:rPr>
          <w:sz w:val="18"/>
        </w:rPr>
      </w:pPr>
      <w:r>
        <w:rPr>
          <w:i/>
          <w:spacing w:val="-2"/>
          <w:sz w:val="18"/>
        </w:rPr>
        <w:t>138</w:t>
      </w:r>
      <w:r>
        <w:rPr>
          <w:spacing w:val="-2"/>
          <w:sz w:val="18"/>
        </w:rPr>
        <w:t>(1).</w:t>
      </w:r>
      <w:r>
        <w:rPr>
          <w:spacing w:val="44"/>
          <w:sz w:val="18"/>
        </w:rPr>
        <w:t> </w:t>
      </w:r>
      <w:r>
        <w:rPr>
          <w:spacing w:val="-2"/>
          <w:sz w:val="18"/>
        </w:rPr>
        <w:t>doi:10.1542/peds.2016-</w:t>
      </w:r>
      <w:r>
        <w:rPr>
          <w:spacing w:val="-4"/>
          <w:sz w:val="18"/>
        </w:rPr>
        <w:t>1211</w:t>
      </w:r>
    </w:p>
    <w:p>
      <w:pPr>
        <w:spacing w:before="121"/>
        <w:ind w:left="139" w:right="179" w:firstLine="0"/>
        <w:jc w:val="left"/>
        <w:rPr>
          <w:sz w:val="18"/>
        </w:rPr>
      </w:pPr>
      <w:r>
        <w:rPr>
          <w:sz w:val="18"/>
        </w:rPr>
        <w:t>Minnesota Department of Health. (2023). </w:t>
      </w:r>
      <w:r>
        <w:rPr>
          <w:i/>
          <w:sz w:val="18"/>
        </w:rPr>
        <w:t>Minnesota Student Survey</w:t>
      </w:r>
      <w:r>
        <w:rPr>
          <w:sz w:val="18"/>
        </w:rPr>
        <w:t>. Retrieved from </w:t>
      </w:r>
      <w:hyperlink r:id="rId21">
        <w:r>
          <w:rPr>
            <w:spacing w:val="-2"/>
            <w:sz w:val="18"/>
          </w:rPr>
          <w:t>www.health.state.mn.us/data/mchs/surveys/mss/index.ht</w:t>
        </w:r>
      </w:hyperlink>
      <w:r>
        <w:rPr>
          <w:sz w:val="18"/>
        </w:rPr>
        <w:t> </w:t>
      </w:r>
      <w:r>
        <w:rPr>
          <w:spacing w:val="-6"/>
          <w:sz w:val="18"/>
        </w:rPr>
        <w:t>ml</w:t>
      </w:r>
    </w:p>
    <w:p>
      <w:pPr>
        <w:pStyle w:val="BodyText"/>
        <w:spacing w:before="69"/>
        <w:rPr>
          <w:sz w:val="18"/>
        </w:rPr>
      </w:pPr>
    </w:p>
    <w:p>
      <w:pPr>
        <w:pStyle w:val="Heading1"/>
      </w:pPr>
      <w:bookmarkStart w:name="For More Information" w:id="17"/>
      <w:bookmarkEnd w:id="17"/>
      <w:r>
        <w:rPr>
          <w:b w:val="0"/>
        </w:rPr>
      </w:r>
      <w:r>
        <w:rPr>
          <w:color w:val="003864"/>
          <w:spacing w:val="-2"/>
        </w:rPr>
        <w:t>For</w:t>
      </w:r>
      <w:r>
        <w:rPr>
          <w:color w:val="003864"/>
          <w:spacing w:val="-18"/>
        </w:rPr>
        <w:t> </w:t>
      </w:r>
      <w:r>
        <w:rPr>
          <w:color w:val="003864"/>
          <w:spacing w:val="-2"/>
        </w:rPr>
        <w:t>More</w:t>
      </w:r>
      <w:r>
        <w:rPr>
          <w:color w:val="003864"/>
          <w:spacing w:val="-17"/>
        </w:rPr>
        <w:t> </w:t>
      </w:r>
      <w:r>
        <w:rPr>
          <w:color w:val="003864"/>
          <w:spacing w:val="-2"/>
        </w:rPr>
        <w:t>Information</w:t>
      </w:r>
    </w:p>
    <w:p>
      <w:pPr>
        <w:spacing w:before="101"/>
        <w:ind w:left="139" w:right="179" w:firstLine="0"/>
        <w:jc w:val="left"/>
        <w:rPr>
          <w:sz w:val="18"/>
        </w:rPr>
      </w:pPr>
      <w:r>
        <w:rPr>
          <w:sz w:val="18"/>
        </w:rPr>
        <w:t>The Child and Teen Checkups (C&amp;TC) program is administered</w:t>
      </w:r>
      <w:r>
        <w:rPr>
          <w:spacing w:val="-8"/>
          <w:sz w:val="18"/>
        </w:rPr>
        <w:t> </w:t>
      </w:r>
      <w:r>
        <w:rPr>
          <w:sz w:val="18"/>
        </w:rPr>
        <w:t>through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partnership</w:t>
      </w:r>
      <w:r>
        <w:rPr>
          <w:spacing w:val="-8"/>
          <w:sz w:val="18"/>
        </w:rPr>
        <w:t> </w:t>
      </w:r>
      <w:r>
        <w:rPr>
          <w:sz w:val="18"/>
        </w:rPr>
        <w:t>between</w:t>
      </w:r>
      <w:r>
        <w:rPr>
          <w:spacing w:val="-8"/>
          <w:sz w:val="18"/>
        </w:rPr>
        <w:t> </w:t>
      </w:r>
      <w:r>
        <w:rPr>
          <w:sz w:val="18"/>
        </w:rPr>
        <w:t>the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834" w:footer="881" w:top="720" w:bottom="280" w:left="1300" w:right="1300"/>
          <w:cols w:num="2" w:equalWidth="0">
            <w:col w:w="4496" w:space="544"/>
            <w:col w:w="4600"/>
          </w:cols>
        </w:sectPr>
      </w:pPr>
    </w:p>
    <w:p>
      <w:pPr>
        <w:pStyle w:val="BodyText"/>
        <w:spacing w:before="54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834" w:footer="881" w:top="1020" w:bottom="1080" w:left="1300" w:right="1300"/>
        </w:sectPr>
      </w:pPr>
    </w:p>
    <w:p>
      <w:pPr>
        <w:spacing w:before="64"/>
        <w:ind w:left="140" w:right="20" w:firstLine="0"/>
        <w:jc w:val="left"/>
        <w:rPr>
          <w:sz w:val="18"/>
        </w:rPr>
      </w:pPr>
      <w:r>
        <w:rPr>
          <w:sz w:val="18"/>
        </w:rPr>
        <w:t>Minnesota</w:t>
      </w:r>
      <w:r>
        <w:rPr>
          <w:spacing w:val="-7"/>
          <w:sz w:val="18"/>
        </w:rPr>
        <w:t> </w:t>
      </w:r>
      <w:r>
        <w:rPr>
          <w:sz w:val="18"/>
        </w:rPr>
        <w:t>Department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Human</w:t>
      </w:r>
      <w:r>
        <w:rPr>
          <w:spacing w:val="-8"/>
          <w:sz w:val="18"/>
        </w:rPr>
        <w:t> </w:t>
      </w:r>
      <w:r>
        <w:rPr>
          <w:sz w:val="18"/>
        </w:rPr>
        <w:t>Services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the Minnesota Department of Health.</w:t>
      </w:r>
    </w:p>
    <w:p>
      <w:pPr>
        <w:spacing w:before="119"/>
        <w:ind w:left="140" w:right="20" w:firstLine="0"/>
        <w:jc w:val="left"/>
        <w:rPr>
          <w:sz w:val="18"/>
        </w:rPr>
      </w:pPr>
      <w:r>
        <w:rPr>
          <w:sz w:val="18"/>
        </w:rPr>
        <w:t>For questions about this fact sheet or to obtain this information</w:t>
      </w:r>
      <w:r>
        <w:rPr>
          <w:spacing w:val="-6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different</w:t>
      </w:r>
      <w:r>
        <w:rPr>
          <w:spacing w:val="-6"/>
          <w:sz w:val="18"/>
        </w:rPr>
        <w:t> </w:t>
      </w:r>
      <w:r>
        <w:rPr>
          <w:sz w:val="18"/>
        </w:rPr>
        <w:t>format,</w:t>
      </w:r>
      <w:r>
        <w:rPr>
          <w:spacing w:val="-3"/>
          <w:sz w:val="18"/>
        </w:rPr>
        <w:t> </w:t>
      </w:r>
      <w:r>
        <w:rPr>
          <w:sz w:val="18"/>
        </w:rPr>
        <w:t>call</w:t>
      </w:r>
      <w:r>
        <w:rPr>
          <w:spacing w:val="-6"/>
          <w:sz w:val="18"/>
        </w:rPr>
        <w:t> </w:t>
      </w:r>
      <w:r>
        <w:rPr>
          <w:sz w:val="18"/>
        </w:rPr>
        <w:t>651-201-3650</w:t>
      </w:r>
      <w:r>
        <w:rPr>
          <w:spacing w:val="-5"/>
          <w:sz w:val="18"/>
        </w:rPr>
        <w:t> </w:t>
      </w:r>
      <w:r>
        <w:rPr>
          <w:sz w:val="18"/>
        </w:rPr>
        <w:t>or email</w:t>
      </w:r>
      <w:r>
        <w:rPr>
          <w:spacing w:val="-2"/>
          <w:sz w:val="18"/>
        </w:rPr>
        <w:t> </w:t>
      </w:r>
      <w:hyperlink r:id="rId22">
        <w:r>
          <w:rPr>
            <w:sz w:val="18"/>
          </w:rPr>
          <w:t>health.childteencheckups@state.mn.us.</w:t>
        </w:r>
      </w:hyperlink>
    </w:p>
    <w:p>
      <w:pPr>
        <w:spacing w:before="121"/>
        <w:ind w:left="140" w:right="0" w:firstLine="0"/>
        <w:jc w:val="left"/>
        <w:rPr>
          <w:sz w:val="18"/>
        </w:rPr>
      </w:pPr>
      <w:r>
        <w:rPr>
          <w:sz w:val="18"/>
        </w:rPr>
        <w:t>Revised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03/2024</w:t>
      </w:r>
    </w:p>
    <w:p>
      <w:pPr>
        <w:pStyle w:val="BodyText"/>
        <w:spacing w:before="71"/>
        <w:rPr>
          <w:sz w:val="18"/>
        </w:rPr>
      </w:pPr>
    </w:p>
    <w:p>
      <w:pPr>
        <w:pStyle w:val="Heading1"/>
        <w:ind w:left="140"/>
      </w:pPr>
      <w:bookmarkStart w:name="Resource Links" w:id="18"/>
      <w:bookmarkEnd w:id="18"/>
      <w:r>
        <w:rPr>
          <w:b w:val="0"/>
        </w:rPr>
      </w:r>
      <w:r>
        <w:rPr>
          <w:color w:val="003864"/>
          <w:spacing w:val="-5"/>
        </w:rPr>
        <w:t>Resource</w:t>
      </w:r>
      <w:r>
        <w:rPr>
          <w:color w:val="003864"/>
          <w:spacing w:val="-7"/>
        </w:rPr>
        <w:t> </w:t>
      </w:r>
      <w:r>
        <w:rPr>
          <w:color w:val="003864"/>
          <w:spacing w:val="-4"/>
        </w:rPr>
        <w:t>Links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02" w:after="0"/>
        <w:ind w:left="500" w:right="61" w:hanging="360"/>
        <w:jc w:val="left"/>
        <w:rPr>
          <w:sz w:val="24"/>
          <w:u w:val="none"/>
        </w:rPr>
      </w:pPr>
      <w:hyperlink r:id="rId7">
        <w:r>
          <w:rPr>
            <w:color w:val="003864"/>
            <w:sz w:val="24"/>
            <w:u w:val="single" w:color="003864"/>
          </w:rPr>
          <w:t>Traditional Tobacco and American</w:t>
        </w:r>
      </w:hyperlink>
      <w:r>
        <w:rPr>
          <w:color w:val="003864"/>
          <w:sz w:val="24"/>
          <w:u w:val="none"/>
        </w:rPr>
        <w:t> </w:t>
      </w:r>
      <w:hyperlink r:id="rId7">
        <w:r>
          <w:rPr>
            <w:color w:val="003864"/>
            <w:sz w:val="24"/>
            <w:u w:val="single" w:color="003864"/>
          </w:rPr>
          <w:t>Indian Communities in Minnesota</w:t>
        </w:r>
      </w:hyperlink>
      <w:r>
        <w:rPr>
          <w:color w:val="003864"/>
          <w:sz w:val="24"/>
          <w:u w:val="none"/>
        </w:rPr>
        <w:t> </w:t>
      </w:r>
      <w:hyperlink r:id="rId7">
        <w:r>
          <w:rPr>
            <w:color w:val="003864"/>
            <w:spacing w:val="-2"/>
            <w:sz w:val="24"/>
            <w:u w:val="single" w:color="003864"/>
          </w:rPr>
          <w:t>(www.health.state.mn.us/communities/</w:t>
        </w:r>
      </w:hyperlink>
      <w:r>
        <w:rPr>
          <w:color w:val="003864"/>
          <w:spacing w:val="-2"/>
          <w:sz w:val="24"/>
          <w:u w:val="none"/>
        </w:rPr>
        <w:t> </w:t>
      </w:r>
      <w:hyperlink r:id="rId7">
        <w:r>
          <w:rPr>
            <w:color w:val="003864"/>
            <w:spacing w:val="-2"/>
            <w:sz w:val="24"/>
            <w:u w:val="single" w:color="003864"/>
          </w:rPr>
          <w:t>tobacco/traditional/index.html)</w:t>
        </w:r>
      </w:hyperlink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19" w:after="0"/>
        <w:ind w:left="500" w:right="47" w:hanging="360"/>
        <w:jc w:val="left"/>
        <w:rPr>
          <w:sz w:val="24"/>
          <w:u w:val="none"/>
        </w:rPr>
      </w:pPr>
      <w:hyperlink r:id="rId8">
        <w:r>
          <w:rPr>
            <w:color w:val="003864"/>
            <w:sz w:val="24"/>
            <w:u w:val="single" w:color="003864"/>
          </w:rPr>
          <w:t>C&amp;TC Provider Documentation Forms</w:t>
        </w:r>
      </w:hyperlink>
      <w:r>
        <w:rPr>
          <w:color w:val="003864"/>
          <w:sz w:val="24"/>
          <w:u w:val="none"/>
        </w:rPr>
        <w:t> </w:t>
      </w:r>
      <w:hyperlink r:id="rId8">
        <w:r>
          <w:rPr>
            <w:color w:val="003864"/>
            <w:spacing w:val="-2"/>
            <w:sz w:val="24"/>
            <w:u w:val="single" w:color="003864"/>
          </w:rPr>
          <w:t>(https://mn.gov/dhs/partners-and-</w:t>
        </w:r>
      </w:hyperlink>
      <w:r>
        <w:rPr>
          <w:color w:val="003864"/>
          <w:spacing w:val="-2"/>
          <w:sz w:val="24"/>
          <w:u w:val="none"/>
        </w:rPr>
        <w:t> </w:t>
      </w:r>
      <w:hyperlink r:id="rId8">
        <w:r>
          <w:rPr>
            <w:color w:val="003864"/>
            <w:spacing w:val="-2"/>
            <w:sz w:val="24"/>
            <w:u w:val="single" w:color="003864"/>
          </w:rPr>
          <w:t>providers/policies-</w:t>
        </w:r>
      </w:hyperlink>
      <w:r>
        <w:rPr>
          <w:color w:val="003864"/>
          <w:spacing w:val="-2"/>
          <w:sz w:val="24"/>
          <w:u w:val="none"/>
        </w:rPr>
        <w:t> </w:t>
      </w:r>
      <w:hyperlink r:id="rId8">
        <w:r>
          <w:rPr>
            <w:color w:val="003864"/>
            <w:spacing w:val="-2"/>
            <w:sz w:val="24"/>
            <w:u w:val="single" w:color="003864"/>
          </w:rPr>
          <w:t>procedures/minnesota-health-care-</w:t>
        </w:r>
      </w:hyperlink>
      <w:r>
        <w:rPr>
          <w:color w:val="003864"/>
          <w:spacing w:val="-2"/>
          <w:sz w:val="24"/>
          <w:u w:val="none"/>
        </w:rPr>
        <w:t> </w:t>
      </w:r>
      <w:hyperlink r:id="rId8">
        <w:r>
          <w:rPr>
            <w:color w:val="003864"/>
            <w:spacing w:val="-2"/>
            <w:sz w:val="24"/>
            <w:u w:val="single" w:color="003864"/>
          </w:rPr>
          <w:t>programs/provider/types/ctc-resources)</w:t>
        </w:r>
      </w:hyperlink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19" w:after="0"/>
        <w:ind w:left="500" w:right="38" w:hanging="360"/>
        <w:jc w:val="left"/>
        <w:rPr>
          <w:sz w:val="24"/>
          <w:u w:val="none"/>
        </w:rPr>
      </w:pPr>
      <w:hyperlink r:id="rId9">
        <w:r>
          <w:rPr>
            <w:color w:val="003864"/>
            <w:sz w:val="24"/>
            <w:u w:val="single" w:color="003864"/>
          </w:rPr>
          <w:t>Minnesota’s minor’s consent law MN</w:t>
        </w:r>
      </w:hyperlink>
      <w:r>
        <w:rPr>
          <w:color w:val="003864"/>
          <w:sz w:val="24"/>
          <w:u w:val="none"/>
        </w:rPr>
        <w:t> </w:t>
      </w:r>
      <w:hyperlink r:id="rId9">
        <w:r>
          <w:rPr>
            <w:color w:val="003864"/>
            <w:sz w:val="24"/>
            <w:u w:val="single" w:color="003864"/>
          </w:rPr>
          <w:t>Statute § 144.343</w:t>
        </w:r>
      </w:hyperlink>
      <w:r>
        <w:rPr>
          <w:color w:val="003864"/>
          <w:sz w:val="24"/>
          <w:u w:val="none"/>
        </w:rPr>
        <w:t> </w:t>
      </w:r>
      <w:hyperlink r:id="rId9">
        <w:r>
          <w:rPr>
            <w:color w:val="003864"/>
            <w:spacing w:val="-2"/>
            <w:sz w:val="24"/>
            <w:u w:val="single" w:color="003864"/>
          </w:rPr>
          <w:t>(www.revisor.mn.gov/statutes/cite/144.</w:t>
        </w:r>
      </w:hyperlink>
      <w:r>
        <w:rPr>
          <w:color w:val="003864"/>
          <w:spacing w:val="-2"/>
          <w:sz w:val="24"/>
          <w:u w:val="none"/>
        </w:rPr>
        <w:t> </w:t>
      </w:r>
      <w:hyperlink r:id="rId9">
        <w:r>
          <w:rPr>
            <w:color w:val="003864"/>
            <w:spacing w:val="-4"/>
            <w:sz w:val="24"/>
            <w:u w:val="single" w:color="003864"/>
          </w:rPr>
          <w:t>343)</w:t>
        </w:r>
      </w:hyperlink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20" w:after="0"/>
        <w:ind w:left="500" w:right="67" w:hanging="360"/>
        <w:jc w:val="left"/>
        <w:rPr>
          <w:sz w:val="24"/>
          <w:u w:val="none"/>
        </w:rPr>
      </w:pPr>
      <w:hyperlink r:id="rId10">
        <w:r>
          <w:rPr>
            <w:color w:val="003864"/>
            <w:sz w:val="24"/>
            <w:u w:val="single" w:color="003864"/>
          </w:rPr>
          <w:t>Adolescent Substance Use Screening</w:t>
        </w:r>
      </w:hyperlink>
      <w:r>
        <w:rPr>
          <w:color w:val="003864"/>
          <w:sz w:val="24"/>
          <w:u w:val="none"/>
        </w:rPr>
        <w:t> </w:t>
      </w:r>
      <w:hyperlink r:id="rId10">
        <w:r>
          <w:rPr>
            <w:color w:val="003864"/>
            <w:sz w:val="24"/>
            <w:u w:val="single" w:color="003864"/>
          </w:rPr>
          <w:t>Tools (https://nida.nih.gov/nidamed-</w:t>
        </w:r>
      </w:hyperlink>
      <w:r>
        <w:rPr>
          <w:color w:val="003864"/>
          <w:sz w:val="24"/>
          <w:u w:val="none"/>
        </w:rPr>
        <w:t> </w:t>
      </w:r>
      <w:hyperlink r:id="rId10">
        <w:r>
          <w:rPr>
            <w:color w:val="003864"/>
            <w:spacing w:val="-2"/>
            <w:sz w:val="24"/>
            <w:u w:val="single" w:color="003864"/>
          </w:rPr>
          <w:t>medical-health-professionals/screening-</w:t>
        </w:r>
      </w:hyperlink>
      <w:r>
        <w:rPr>
          <w:color w:val="003864"/>
          <w:spacing w:val="-2"/>
          <w:sz w:val="24"/>
          <w:u w:val="none"/>
        </w:rPr>
        <w:t> </w:t>
      </w:r>
      <w:hyperlink r:id="rId10">
        <w:r>
          <w:rPr>
            <w:color w:val="003864"/>
            <w:spacing w:val="-2"/>
            <w:sz w:val="24"/>
            <w:u w:val="single" w:color="003864"/>
          </w:rPr>
          <w:t>tools-prevention/screening-tools-</w:t>
        </w:r>
      </w:hyperlink>
      <w:r>
        <w:rPr>
          <w:color w:val="003864"/>
          <w:spacing w:val="-2"/>
          <w:sz w:val="24"/>
          <w:u w:val="none"/>
        </w:rPr>
        <w:t> </w:t>
      </w:r>
      <w:hyperlink r:id="rId10">
        <w:r>
          <w:rPr>
            <w:color w:val="003864"/>
            <w:spacing w:val="-2"/>
            <w:sz w:val="24"/>
            <w:u w:val="single" w:color="003864"/>
          </w:rPr>
          <w:t>adolescent-substance-use/adolescent-</w:t>
        </w:r>
      </w:hyperlink>
      <w:r>
        <w:rPr>
          <w:color w:val="003864"/>
          <w:spacing w:val="-2"/>
          <w:sz w:val="24"/>
          <w:u w:val="none"/>
        </w:rPr>
        <w:t> </w:t>
      </w:r>
      <w:hyperlink r:id="rId10">
        <w:r>
          <w:rPr>
            <w:color w:val="003864"/>
            <w:spacing w:val="-2"/>
            <w:sz w:val="24"/>
            <w:u w:val="single" w:color="003864"/>
          </w:rPr>
          <w:t>substance-use-screening-tools)</w:t>
        </w:r>
      </w:hyperlink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121" w:after="0"/>
        <w:ind w:left="499" w:right="0" w:hanging="359"/>
        <w:jc w:val="left"/>
        <w:rPr>
          <w:sz w:val="24"/>
          <w:u w:val="none"/>
        </w:rPr>
      </w:pPr>
      <w:hyperlink r:id="rId11">
        <w:r>
          <w:rPr>
            <w:color w:val="003864"/>
            <w:sz w:val="24"/>
            <w:u w:val="single" w:color="003864"/>
          </w:rPr>
          <w:t>CRAFFT</w:t>
        </w:r>
        <w:r>
          <w:rPr>
            <w:color w:val="003864"/>
            <w:spacing w:val="-1"/>
            <w:sz w:val="24"/>
            <w:u w:val="single" w:color="003864"/>
          </w:rPr>
          <w:t> </w:t>
        </w:r>
        <w:r>
          <w:rPr>
            <w:color w:val="003864"/>
            <w:spacing w:val="-2"/>
            <w:sz w:val="24"/>
            <w:u w:val="single" w:color="003864"/>
          </w:rPr>
          <w:t>(http://crafft.org)</w:t>
        </w:r>
      </w:hyperlink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20" w:after="0"/>
        <w:ind w:left="500" w:right="113" w:hanging="360"/>
        <w:jc w:val="left"/>
        <w:rPr>
          <w:sz w:val="24"/>
          <w:u w:val="none"/>
        </w:rPr>
      </w:pPr>
      <w:hyperlink r:id="rId12">
        <w:r>
          <w:rPr>
            <w:color w:val="003864"/>
            <w:sz w:val="24"/>
            <w:u w:val="single" w:color="003864"/>
          </w:rPr>
          <w:t>GAIN-SS Materials</w:t>
        </w:r>
      </w:hyperlink>
      <w:r>
        <w:rPr>
          <w:color w:val="003864"/>
          <w:sz w:val="24"/>
          <w:u w:val="none"/>
        </w:rPr>
        <w:t> </w:t>
      </w:r>
      <w:hyperlink r:id="rId12">
        <w:r>
          <w:rPr>
            <w:color w:val="003864"/>
            <w:spacing w:val="-2"/>
            <w:sz w:val="24"/>
            <w:u w:val="single" w:color="003864"/>
          </w:rPr>
          <w:t>(https://chestnut.app.box.com/v/GAIN-</w:t>
        </w:r>
      </w:hyperlink>
      <w:r>
        <w:rPr>
          <w:color w:val="003864"/>
          <w:spacing w:val="-2"/>
          <w:sz w:val="24"/>
          <w:u w:val="none"/>
        </w:rPr>
        <w:t> </w:t>
      </w:r>
      <w:hyperlink r:id="rId12">
        <w:r>
          <w:rPr>
            <w:color w:val="003864"/>
            <w:spacing w:val="-2"/>
            <w:sz w:val="24"/>
            <w:u w:val="single" w:color="003864"/>
          </w:rPr>
          <w:t>SS-Materials)</w:t>
        </w:r>
      </w:hyperlink>
      <w:r>
        <w:rPr>
          <w:spacing w:val="-2"/>
          <w:sz w:val="24"/>
          <w:u w:val="none"/>
        </w:rPr>
        <w:t>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19" w:after="0"/>
        <w:ind w:left="500" w:right="715" w:hanging="360"/>
        <w:jc w:val="left"/>
        <w:rPr>
          <w:sz w:val="24"/>
          <w:u w:val="none"/>
        </w:rPr>
      </w:pPr>
      <w:hyperlink r:id="rId15">
        <w:r>
          <w:rPr>
            <w:color w:val="003864"/>
            <w:sz w:val="24"/>
            <w:u w:val="single" w:color="003864"/>
          </w:rPr>
          <w:t>Screening,</w:t>
        </w:r>
        <w:r>
          <w:rPr>
            <w:color w:val="003864"/>
            <w:spacing w:val="-13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Brief</w:t>
        </w:r>
        <w:r>
          <w:rPr>
            <w:color w:val="003864"/>
            <w:spacing w:val="-12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Intervention,</w:t>
        </w:r>
        <w:r>
          <w:rPr>
            <w:color w:val="003864"/>
            <w:spacing w:val="-13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and</w:t>
        </w:r>
      </w:hyperlink>
      <w:r>
        <w:rPr>
          <w:color w:val="003864"/>
          <w:sz w:val="24"/>
          <w:u w:val="none"/>
        </w:rPr>
        <w:t> </w:t>
      </w:r>
      <w:hyperlink r:id="rId15">
        <w:r>
          <w:rPr>
            <w:color w:val="003864"/>
            <w:sz w:val="24"/>
            <w:u w:val="single" w:color="003864"/>
          </w:rPr>
          <w:t>Referral to Treatment (SBIRT)</w:t>
        </w:r>
      </w:hyperlink>
      <w:r>
        <w:rPr>
          <w:color w:val="003864"/>
          <w:sz w:val="24"/>
          <w:u w:val="none"/>
        </w:rPr>
        <w:t> </w:t>
      </w:r>
      <w:hyperlink r:id="rId15">
        <w:r>
          <w:rPr>
            <w:color w:val="003864"/>
            <w:spacing w:val="-2"/>
            <w:sz w:val="24"/>
            <w:u w:val="single" w:color="003864"/>
          </w:rPr>
          <w:t>(www.samhsa.gov/sbirt)</w:t>
        </w:r>
      </w:hyperlink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20" w:after="0"/>
        <w:ind w:left="500" w:right="353" w:hanging="360"/>
        <w:jc w:val="left"/>
        <w:rPr>
          <w:sz w:val="24"/>
          <w:u w:val="none"/>
        </w:rPr>
      </w:pPr>
      <w:hyperlink r:id="rId16">
        <w:r>
          <w:rPr>
            <w:color w:val="003864"/>
            <w:sz w:val="24"/>
            <w:u w:val="single" w:color="003864"/>
          </w:rPr>
          <w:t>Quit Partner</w:t>
        </w:r>
      </w:hyperlink>
      <w:r>
        <w:rPr>
          <w:color w:val="003864"/>
          <w:sz w:val="24"/>
          <w:u w:val="none"/>
        </w:rPr>
        <w:t> </w:t>
      </w:r>
      <w:hyperlink r:id="rId16">
        <w:r>
          <w:rPr>
            <w:color w:val="003864"/>
            <w:spacing w:val="-2"/>
            <w:sz w:val="24"/>
            <w:u w:val="single" w:color="003864"/>
          </w:rPr>
          <w:t>(www.quitpartnermn.com/quit-your-</w:t>
        </w:r>
      </w:hyperlink>
      <w:r>
        <w:rPr>
          <w:color w:val="003864"/>
          <w:spacing w:val="-2"/>
          <w:sz w:val="24"/>
          <w:u w:val="none"/>
        </w:rPr>
        <w:t> </w:t>
      </w:r>
      <w:hyperlink r:id="rId16">
        <w:r>
          <w:rPr>
            <w:color w:val="003864"/>
            <w:spacing w:val="-4"/>
            <w:sz w:val="24"/>
            <w:u w:val="single" w:color="003864"/>
          </w:rPr>
          <w:t>way)</w:t>
        </w:r>
      </w:hyperlink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22" w:after="0"/>
        <w:ind w:left="500" w:right="1020" w:hanging="360"/>
        <w:jc w:val="left"/>
        <w:rPr>
          <w:sz w:val="24"/>
          <w:u w:val="none"/>
        </w:rPr>
      </w:pPr>
      <w:hyperlink r:id="rId17">
        <w:r>
          <w:rPr>
            <w:color w:val="003864"/>
            <w:sz w:val="24"/>
            <w:u w:val="single" w:color="003864"/>
          </w:rPr>
          <w:t>C&amp;TC</w:t>
        </w:r>
        <w:r>
          <w:rPr>
            <w:color w:val="003864"/>
            <w:spacing w:val="-13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Schedule</w:t>
        </w:r>
        <w:r>
          <w:rPr>
            <w:color w:val="003864"/>
            <w:spacing w:val="-13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of</w:t>
        </w:r>
        <w:r>
          <w:rPr>
            <w:color w:val="003864"/>
            <w:spacing w:val="-11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Age-Related</w:t>
        </w:r>
      </w:hyperlink>
      <w:r>
        <w:rPr>
          <w:color w:val="003864"/>
          <w:sz w:val="24"/>
          <w:u w:val="none"/>
        </w:rPr>
        <w:t> </w:t>
      </w:r>
      <w:hyperlink r:id="rId17">
        <w:r>
          <w:rPr>
            <w:color w:val="003864"/>
            <w:sz w:val="24"/>
            <w:u w:val="single" w:color="003864"/>
          </w:rPr>
          <w:t>Screening Standards</w:t>
        </w:r>
      </w:hyperlink>
    </w:p>
    <w:p>
      <w:pPr>
        <w:pStyle w:val="BodyText"/>
        <w:spacing w:before="64"/>
        <w:ind w:left="500" w:right="160"/>
      </w:pPr>
      <w:r>
        <w:rPr/>
        <w:br w:type="column"/>
      </w:r>
      <w:hyperlink r:id="rId17">
        <w:r>
          <w:rPr>
            <w:color w:val="003864"/>
            <w:spacing w:val="-2"/>
            <w:u w:val="single" w:color="003864"/>
          </w:rPr>
          <w:t>(https://edocs.dhs.state.mn.us/lfserver/</w:t>
        </w:r>
      </w:hyperlink>
      <w:r>
        <w:rPr>
          <w:color w:val="003864"/>
          <w:spacing w:val="-2"/>
        </w:rPr>
        <w:t> </w:t>
      </w:r>
      <w:hyperlink r:id="rId17">
        <w:r>
          <w:rPr>
            <w:color w:val="003864"/>
            <w:spacing w:val="-2"/>
            <w:u w:val="single" w:color="003864"/>
          </w:rPr>
          <w:t>Public/DHS-3379-ENG)</w:t>
        </w:r>
      </w:hyperlink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20" w:after="0"/>
        <w:ind w:left="500" w:right="172" w:hanging="360"/>
        <w:jc w:val="left"/>
        <w:rPr>
          <w:sz w:val="24"/>
          <w:u w:val="none"/>
        </w:rPr>
      </w:pPr>
      <w:hyperlink r:id="rId18">
        <w:r>
          <w:rPr>
            <w:color w:val="003864"/>
            <w:sz w:val="24"/>
            <w:u w:val="single" w:color="003864"/>
          </w:rPr>
          <w:t>Minnesota Health Care Programs</w:t>
        </w:r>
      </w:hyperlink>
      <w:r>
        <w:rPr>
          <w:color w:val="003864"/>
          <w:sz w:val="24"/>
          <w:u w:val="none"/>
        </w:rPr>
        <w:t> </w:t>
      </w:r>
      <w:hyperlink r:id="rId18">
        <w:r>
          <w:rPr>
            <w:color w:val="003864"/>
            <w:sz w:val="24"/>
            <w:u w:val="single" w:color="003864"/>
          </w:rPr>
          <w:t>(MHCP)</w:t>
        </w:r>
        <w:r>
          <w:rPr>
            <w:color w:val="003864"/>
            <w:spacing w:val="-7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Provider</w:t>
        </w:r>
        <w:r>
          <w:rPr>
            <w:color w:val="003864"/>
            <w:spacing w:val="-9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Manual</w:t>
        </w:r>
        <w:r>
          <w:rPr>
            <w:color w:val="003864"/>
            <w:spacing w:val="-9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-</w:t>
        </w:r>
        <w:r>
          <w:rPr>
            <w:color w:val="003864"/>
            <w:spacing w:val="-6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C&amp;TC</w:t>
        </w:r>
        <w:r>
          <w:rPr>
            <w:color w:val="003864"/>
            <w:spacing w:val="-7"/>
            <w:sz w:val="24"/>
            <w:u w:val="single" w:color="003864"/>
          </w:rPr>
          <w:t> </w:t>
        </w:r>
        <w:r>
          <w:rPr>
            <w:color w:val="003864"/>
            <w:sz w:val="24"/>
            <w:u w:val="single" w:color="003864"/>
          </w:rPr>
          <w:t>Section</w:t>
        </w:r>
      </w:hyperlink>
      <w:r>
        <w:rPr>
          <w:color w:val="003864"/>
          <w:sz w:val="24"/>
          <w:u w:val="none"/>
        </w:rPr>
        <w:t> </w:t>
      </w:r>
      <w:hyperlink r:id="rId18">
        <w:r>
          <w:rPr>
            <w:color w:val="003864"/>
            <w:spacing w:val="-2"/>
            <w:sz w:val="24"/>
            <w:u w:val="single" w:color="003864"/>
          </w:rPr>
          <w:t>(www.dhs.state.mn.us/main/idcplg?Idc</w:t>
        </w:r>
      </w:hyperlink>
      <w:r>
        <w:rPr>
          <w:color w:val="003864"/>
          <w:spacing w:val="-2"/>
          <w:sz w:val="24"/>
          <w:u w:val="none"/>
        </w:rPr>
        <w:t> </w:t>
      </w:r>
      <w:hyperlink r:id="rId18">
        <w:r>
          <w:rPr>
            <w:color w:val="003864"/>
            <w:spacing w:val="-2"/>
            <w:sz w:val="24"/>
            <w:u w:val="single" w:color="003864"/>
          </w:rPr>
          <w:t>Service=GET_DYNAMIC_CONVERSION&amp;</w:t>
        </w:r>
      </w:hyperlink>
    </w:p>
    <w:p>
      <w:pPr>
        <w:pStyle w:val="BodyText"/>
        <w:spacing w:before="0"/>
        <w:ind w:left="500"/>
      </w:pPr>
      <w:hyperlink r:id="rId18">
        <w:r>
          <w:rPr>
            <w:color w:val="003864"/>
            <w:spacing w:val="-2"/>
            <w:u w:val="single" w:color="003864"/>
          </w:rPr>
          <w:t>RevisionSelectionMethod=LatestRelease</w:t>
        </w:r>
      </w:hyperlink>
      <w:r>
        <w:rPr>
          <w:color w:val="003864"/>
          <w:spacing w:val="-2"/>
        </w:rPr>
        <w:t> </w:t>
      </w:r>
      <w:hyperlink r:id="rId18">
        <w:r>
          <w:rPr>
            <w:color w:val="003864"/>
            <w:spacing w:val="-2"/>
            <w:u w:val="single" w:color="003864"/>
          </w:rPr>
          <w:t>d&amp;dDocName=dhs16_150092)</w:t>
        </w:r>
      </w:hyperlink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119" w:after="0"/>
        <w:ind w:left="500" w:right="209" w:hanging="360"/>
        <w:jc w:val="left"/>
        <w:rPr>
          <w:sz w:val="24"/>
          <w:u w:val="none"/>
        </w:rPr>
      </w:pPr>
      <w:hyperlink r:id="rId23">
        <w:r>
          <w:rPr>
            <w:color w:val="003864"/>
            <w:sz w:val="24"/>
            <w:u w:val="single" w:color="003864"/>
          </w:rPr>
          <w:t>Child and Teen Checkups (C&amp;TC)</w:t>
        </w:r>
      </w:hyperlink>
      <w:r>
        <w:rPr>
          <w:color w:val="003864"/>
          <w:sz w:val="24"/>
          <w:u w:val="none"/>
        </w:rPr>
        <w:t> </w:t>
      </w:r>
      <w:hyperlink r:id="rId23">
        <w:r>
          <w:rPr>
            <w:color w:val="003864"/>
            <w:spacing w:val="-2"/>
            <w:sz w:val="24"/>
            <w:u w:val="single" w:color="003864"/>
          </w:rPr>
          <w:t>(www.health.state.mn.us/people/childr</w:t>
        </w:r>
      </w:hyperlink>
      <w:r>
        <w:rPr>
          <w:color w:val="003864"/>
          <w:spacing w:val="-2"/>
          <w:sz w:val="24"/>
          <w:u w:val="none"/>
        </w:rPr>
        <w:t> </w:t>
      </w:r>
      <w:hyperlink r:id="rId23">
        <w:r>
          <w:rPr>
            <w:color w:val="003864"/>
            <w:spacing w:val="-2"/>
            <w:sz w:val="24"/>
            <w:u w:val="single" w:color="003864"/>
          </w:rPr>
          <w:t>enyouth/ctc/index.html)</w:t>
        </w:r>
      </w:hyperlink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2" w:lineRule="auto" w:before="119" w:after="0"/>
        <w:ind w:left="500" w:right="1438" w:hanging="360"/>
        <w:jc w:val="left"/>
        <w:rPr>
          <w:sz w:val="24"/>
          <w:u w:val="none"/>
        </w:rPr>
      </w:pPr>
      <w:hyperlink r:id="rId20">
        <w:r>
          <w:rPr>
            <w:color w:val="003864"/>
            <w:sz w:val="24"/>
            <w:u w:val="single" w:color="003864"/>
          </w:rPr>
          <w:t>Fast Tracker MN</w:t>
        </w:r>
      </w:hyperlink>
      <w:r>
        <w:rPr>
          <w:color w:val="003864"/>
          <w:sz w:val="24"/>
          <w:u w:val="none"/>
        </w:rPr>
        <w:t> </w:t>
      </w:r>
      <w:hyperlink r:id="rId20">
        <w:r>
          <w:rPr>
            <w:color w:val="003864"/>
            <w:spacing w:val="-2"/>
            <w:sz w:val="24"/>
            <w:u w:val="single" w:color="003864"/>
          </w:rPr>
          <w:t>(https://fasttrackermn.org)</w:t>
        </w:r>
      </w:hyperlink>
    </w:p>
    <w:sectPr>
      <w:type w:val="continuous"/>
      <w:pgSz w:w="12240" w:h="15840"/>
      <w:pgMar w:header="834" w:footer="881" w:top="720" w:bottom="280" w:left="1300" w:right="1300"/>
      <w:cols w:num="2" w:equalWidth="0">
        <w:col w:w="4498" w:space="542"/>
        <w:col w:w="4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3802343</wp:posOffset>
              </wp:positionH>
              <wp:positionV relativeFrom="page">
                <wp:posOffset>9359567</wp:posOffset>
              </wp:positionV>
              <wp:extent cx="153035" cy="1524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3864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3864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003864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3864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color w:val="003864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397125pt;margin-top:736.973816pt;width:12.05pt;height:12pt;mso-position-horizontal-relative:page;mso-position-vertical-relative:page;z-index:-15843840" type="#_x0000_t202" id="docshape3" filled="false" stroked="false">
              <v:textbox inset="0,0,0,0">
                <w:txbxContent>
                  <w:p>
                    <w:pPr>
                      <w:spacing w:line="223" w:lineRule="exact" w:before="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3864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003864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color w:val="003864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003864"/>
                        <w:spacing w:val="-10"/>
                        <w:sz w:val="20"/>
                      </w:rPr>
                      <w:t>2</w:t>
                    </w:r>
                    <w:r>
                      <w:rPr>
                        <w:color w:val="003864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2128">
              <wp:simplePos x="0" y="0"/>
              <wp:positionH relativeFrom="page">
                <wp:posOffset>1162303</wp:posOffset>
              </wp:positionH>
              <wp:positionV relativeFrom="page">
                <wp:posOffset>517270</wp:posOffset>
              </wp:positionV>
              <wp:extent cx="5424170" cy="1524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424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3864"/>
                              <w:sz w:val="20"/>
                            </w:rPr>
                            <w:t>T</w:t>
                          </w:r>
                          <w:r>
                            <w:rPr>
                              <w:color w:val="003864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O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pacing w:val="20"/>
                              <w:sz w:val="20"/>
                            </w:rPr>
                            <w:t>BA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C</w:t>
                          </w:r>
                          <w:r>
                            <w:rPr>
                              <w:color w:val="003864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C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O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,</w:t>
                          </w:r>
                          <w:r>
                            <w:rPr>
                              <w:color w:val="003864"/>
                              <w:spacing w:val="79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38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L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C</w:t>
                          </w:r>
                          <w:r>
                            <w:rPr>
                              <w:color w:val="003864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O</w:t>
                          </w:r>
                          <w:r>
                            <w:rPr>
                              <w:color w:val="003864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H</w:t>
                          </w:r>
                          <w:r>
                            <w:rPr>
                              <w:color w:val="0038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O</w:t>
                          </w:r>
                          <w:r>
                            <w:rPr>
                              <w:color w:val="0038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L</w:t>
                          </w:r>
                          <w:r>
                            <w:rPr>
                              <w:color w:val="003864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,</w:t>
                          </w:r>
                          <w:r>
                            <w:rPr>
                              <w:color w:val="003864"/>
                              <w:spacing w:val="7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38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38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D</w:t>
                          </w:r>
                          <w:r>
                            <w:rPr>
                              <w:color w:val="003864"/>
                              <w:spacing w:val="7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D</w:t>
                          </w:r>
                          <w:r>
                            <w:rPr>
                              <w:color w:val="0038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R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U</w:t>
                          </w:r>
                          <w:r>
                            <w:rPr>
                              <w:color w:val="003864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G</w:t>
                          </w:r>
                          <w:r>
                            <w:rPr>
                              <w:color w:val="003864"/>
                              <w:spacing w:val="77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U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S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E</w:t>
                          </w:r>
                          <w:r>
                            <w:rPr>
                              <w:color w:val="003864"/>
                              <w:spacing w:val="77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R</w:t>
                          </w:r>
                          <w:r>
                            <w:rPr>
                              <w:color w:val="0038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I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S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K</w:t>
                          </w:r>
                          <w:r>
                            <w:rPr>
                              <w:color w:val="003864"/>
                              <w:spacing w:val="7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S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S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E</w:t>
                          </w:r>
                          <w:r>
                            <w:rPr>
                              <w:color w:val="0038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S</w:t>
                          </w:r>
                          <w:r>
                            <w:rPr>
                              <w:color w:val="0038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S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M</w:t>
                          </w:r>
                          <w:r>
                            <w:rPr>
                              <w:color w:val="003864"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E</w:t>
                          </w:r>
                          <w:r>
                            <w:rPr>
                              <w:color w:val="003864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N</w:t>
                          </w:r>
                          <w:r>
                            <w:rPr>
                              <w:color w:val="0038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T</w:t>
                          </w:r>
                          <w:r>
                            <w:rPr>
                              <w:color w:val="003864"/>
                              <w:spacing w:val="78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C</w:t>
                          </w:r>
                          <w:r>
                            <w:rPr>
                              <w:color w:val="003864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&amp;</w:t>
                          </w:r>
                          <w:r>
                            <w:rPr>
                              <w:color w:val="0038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T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C</w:t>
                          </w:r>
                          <w:r>
                            <w:rPr>
                              <w:color w:val="003864"/>
                              <w:spacing w:val="7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F</w:t>
                          </w:r>
                          <w:r>
                            <w:rPr>
                              <w:color w:val="0038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A</w:t>
                          </w:r>
                          <w:r>
                            <w:rPr>
                              <w:color w:val="0038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C</w:t>
                          </w:r>
                          <w:r>
                            <w:rPr>
                              <w:color w:val="003864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T</w:t>
                          </w:r>
                          <w:r>
                            <w:rPr>
                              <w:color w:val="003864"/>
                              <w:spacing w:val="77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S</w:t>
                          </w:r>
                          <w:r>
                            <w:rPr>
                              <w:color w:val="0038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z w:val="20"/>
                            </w:rPr>
                            <w:t>H</w:t>
                          </w:r>
                          <w:r>
                            <w:rPr>
                              <w:color w:val="0038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pacing w:val="19"/>
                              <w:sz w:val="20"/>
                            </w:rPr>
                            <w:t>EE</w:t>
                          </w:r>
                          <w:r>
                            <w:rPr>
                              <w:color w:val="0038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3864"/>
                              <w:spacing w:val="-10"/>
                              <w:sz w:val="20"/>
                            </w:rPr>
                            <w:t>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1.519997pt;margin-top:40.730pt;width:427.1pt;height:12pt;mso-position-horizontal-relative:page;mso-position-vertical-relative:page;z-index:-15844352" type="#_x0000_t202" id="docshape2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3864"/>
                        <w:sz w:val="20"/>
                      </w:rPr>
                      <w:t>T</w:t>
                    </w:r>
                    <w:r>
                      <w:rPr>
                        <w:color w:val="003864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O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pacing w:val="20"/>
                        <w:sz w:val="20"/>
                      </w:rPr>
                      <w:t>BA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C</w:t>
                    </w:r>
                    <w:r>
                      <w:rPr>
                        <w:color w:val="003864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C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O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,</w:t>
                    </w:r>
                    <w:r>
                      <w:rPr>
                        <w:color w:val="003864"/>
                        <w:spacing w:val="79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A</w:t>
                    </w:r>
                    <w:r>
                      <w:rPr>
                        <w:color w:val="00386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L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C</w:t>
                    </w:r>
                    <w:r>
                      <w:rPr>
                        <w:color w:val="003864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O</w:t>
                    </w:r>
                    <w:r>
                      <w:rPr>
                        <w:color w:val="003864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H</w:t>
                    </w:r>
                    <w:r>
                      <w:rPr>
                        <w:color w:val="00386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O</w:t>
                    </w:r>
                    <w:r>
                      <w:rPr>
                        <w:color w:val="00386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L</w:t>
                    </w:r>
                    <w:r>
                      <w:rPr>
                        <w:color w:val="003864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,</w:t>
                    </w:r>
                    <w:r>
                      <w:rPr>
                        <w:color w:val="003864"/>
                        <w:spacing w:val="7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A</w:t>
                    </w:r>
                    <w:r>
                      <w:rPr>
                        <w:color w:val="00386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N</w:t>
                    </w:r>
                    <w:r>
                      <w:rPr>
                        <w:color w:val="00386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D</w:t>
                    </w:r>
                    <w:r>
                      <w:rPr>
                        <w:color w:val="003864"/>
                        <w:spacing w:val="7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D</w:t>
                    </w:r>
                    <w:r>
                      <w:rPr>
                        <w:color w:val="00386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R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U</w:t>
                    </w:r>
                    <w:r>
                      <w:rPr>
                        <w:color w:val="003864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G</w:t>
                    </w:r>
                    <w:r>
                      <w:rPr>
                        <w:color w:val="003864"/>
                        <w:spacing w:val="77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U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S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E</w:t>
                    </w:r>
                    <w:r>
                      <w:rPr>
                        <w:color w:val="003864"/>
                        <w:spacing w:val="77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R</w:t>
                    </w:r>
                    <w:r>
                      <w:rPr>
                        <w:color w:val="00386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I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S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K</w:t>
                    </w:r>
                    <w:r>
                      <w:rPr>
                        <w:color w:val="003864"/>
                        <w:spacing w:val="7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A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S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S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E</w:t>
                    </w:r>
                    <w:r>
                      <w:rPr>
                        <w:color w:val="00386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S</w:t>
                    </w:r>
                    <w:r>
                      <w:rPr>
                        <w:color w:val="00386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S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M</w:t>
                    </w:r>
                    <w:r>
                      <w:rPr>
                        <w:color w:val="003864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E</w:t>
                    </w:r>
                    <w:r>
                      <w:rPr>
                        <w:color w:val="003864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N</w:t>
                    </w:r>
                    <w:r>
                      <w:rPr>
                        <w:color w:val="00386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T</w:t>
                    </w:r>
                    <w:r>
                      <w:rPr>
                        <w:color w:val="003864"/>
                        <w:spacing w:val="78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C</w:t>
                    </w:r>
                    <w:r>
                      <w:rPr>
                        <w:color w:val="003864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&amp;</w:t>
                    </w:r>
                    <w:r>
                      <w:rPr>
                        <w:color w:val="00386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T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C</w:t>
                    </w:r>
                    <w:r>
                      <w:rPr>
                        <w:color w:val="003864"/>
                        <w:spacing w:val="75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F</w:t>
                    </w:r>
                    <w:r>
                      <w:rPr>
                        <w:color w:val="003864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A</w:t>
                    </w:r>
                    <w:r>
                      <w:rPr>
                        <w:color w:val="00386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C</w:t>
                    </w:r>
                    <w:r>
                      <w:rPr>
                        <w:color w:val="003864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T</w:t>
                    </w:r>
                    <w:r>
                      <w:rPr>
                        <w:color w:val="003864"/>
                        <w:spacing w:val="77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S</w:t>
                    </w:r>
                    <w:r>
                      <w:rPr>
                        <w:color w:val="00386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864"/>
                        <w:sz w:val="20"/>
                      </w:rPr>
                      <w:t>H</w:t>
                    </w:r>
                    <w:r>
                      <w:rPr>
                        <w:color w:val="00386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864"/>
                        <w:spacing w:val="19"/>
                        <w:sz w:val="20"/>
                      </w:rPr>
                      <w:t>EE</w:t>
                    </w:r>
                    <w:r>
                      <w:rPr>
                        <w:color w:val="003864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03864"/>
                        <w:spacing w:val="-10"/>
                        <w:sz w:val="20"/>
                      </w:rPr>
                      <w:t>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▪"/>
      <w:lvlJc w:val="left"/>
      <w:pPr>
        <w:ind w:left="500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008EA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▪"/>
      <w:lvlJc w:val="left"/>
      <w:pPr>
        <w:ind w:left="500" w:hanging="360"/>
      </w:pPr>
      <w:rPr>
        <w:rFonts w:hint="default" w:ascii="Calibri" w:hAnsi="Calibri" w:eastAsia="Calibri" w:cs="Calibri"/>
        <w:b w:val="0"/>
        <w:bCs w:val="0"/>
        <w:i w:val="0"/>
        <w:iCs w:val="0"/>
        <w:color w:val="008EA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9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9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0"/>
    </w:pPr>
    <w:rPr>
      <w:rFonts w:ascii="Calibri" w:hAnsi="Calibri" w:eastAsia="Calibri" w:cs="Calibri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500" w:hanging="360"/>
    </w:pPr>
    <w:rPr>
      <w:rFonts w:ascii="Calibri" w:hAnsi="Calibri" w:eastAsia="Calibri" w:cs="Calibri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www.health.state.mn.us/communities/tobacco/traditional/index.html" TargetMode="External"/><Relationship Id="rId8" Type="http://schemas.openxmlformats.org/officeDocument/2006/relationships/hyperlink" Target="https://mn.gov/dhs/partners-and-providers/policies-procedures/minnesota-health-care-programs/provider/types/ctc-resources/" TargetMode="External"/><Relationship Id="rId9" Type="http://schemas.openxmlformats.org/officeDocument/2006/relationships/hyperlink" Target="https://www.revisor.mn.gov/statutes/cite/144.343" TargetMode="External"/><Relationship Id="rId10" Type="http://schemas.openxmlformats.org/officeDocument/2006/relationships/hyperlink" Target="https://nida.nih.gov/nidamed-medical-health-professionals/screening-tools-prevention/screening-tools-adolescent-substance-use/adolescent-substance-use-screening-tools" TargetMode="External"/><Relationship Id="rId11" Type="http://schemas.openxmlformats.org/officeDocument/2006/relationships/hyperlink" Target="http://crafft.org/" TargetMode="External"/><Relationship Id="rId12" Type="http://schemas.openxmlformats.org/officeDocument/2006/relationships/hyperlink" Target="https://chestnut.app.box.com/v/GAIN-SS-Materials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yperlink" Target="https://www.samhsa.gov/sbirt" TargetMode="External"/><Relationship Id="rId16" Type="http://schemas.openxmlformats.org/officeDocument/2006/relationships/hyperlink" Target="https://www.quitpartnermn.com/quit-your-way/" TargetMode="External"/><Relationship Id="rId17" Type="http://schemas.openxmlformats.org/officeDocument/2006/relationships/hyperlink" Target="https://edocs.dhs.state.mn.us/lfserver/Public/DHS-3379-ENG" TargetMode="External"/><Relationship Id="rId18" Type="http://schemas.openxmlformats.org/officeDocument/2006/relationships/hyperlink" Target="http://www.dhs.state.mn.us/main/idcplg?IdcService=GET_DYNAMIC_CONVERSION&amp;RevisionSelectionMethod=LatestReleased&amp;dDocName=dhs16_150092" TargetMode="External"/><Relationship Id="rId19" Type="http://schemas.openxmlformats.org/officeDocument/2006/relationships/hyperlink" Target="http://www.health.state.mn.us/divs/cfh/program/ctc/index.cfm" TargetMode="External"/><Relationship Id="rId20" Type="http://schemas.openxmlformats.org/officeDocument/2006/relationships/hyperlink" Target="https://fasttrackermn.org/" TargetMode="External"/><Relationship Id="rId21" Type="http://schemas.openxmlformats.org/officeDocument/2006/relationships/hyperlink" Target="http://www.health.state.mn.us/data/mchs/surveys/mss/index.ht" TargetMode="External"/><Relationship Id="rId22" Type="http://schemas.openxmlformats.org/officeDocument/2006/relationships/hyperlink" Target="mailto:health.childteencheckups@state.mn.us" TargetMode="External"/><Relationship Id="rId23" Type="http://schemas.openxmlformats.org/officeDocument/2006/relationships/hyperlink" Target="https://www.health.state.mn.us/people/childrenyouth/ctc/index.html" TargetMode="Externa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State of Minnesota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MDH: MCH</dc:creator>
  <dc:description/>
  <dc:subject>Tobacco, Alcohol, and Drug Use Risk Assessment</dc:subject>
  <dc:title>Tobacco, Alcohol, and Drug Use Risk Assessment</dc:title>
  <dcterms:created xsi:type="dcterms:W3CDTF">2024-09-17T07:59:18Z</dcterms:created>
  <dcterms:modified xsi:type="dcterms:W3CDTF">2024-09-17T07:59:18Z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Created">
    <vt:filetime>2024-04-16T00:00:00Z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2024-09-17T00:00:00Z</vt:filetime>
  </property>
  <property fmtid="{D5CDD505-2E9C-101B-9397-08002B2CF9AE}" pid="6" name="Producer">
    <vt:lpwstr>Adobe PDF Library 24.1.135</vt:lpwstr>
  </property>
  <property fmtid="{D5CDD505-2E9C-101B-9397-08002B2CF9AE}" pid="7" name="SourceModified">
    <vt:lpwstr>D:20240416202859</vt:lpwstr>
  </property>
  <property fmtid="{D5CDD505-2E9C-101B-9397-08002B2CF9AE}" pid="8" name="_dlc_DocIdItemGuid">
    <vt:lpwstr>a9137784-5b41-4ae4-a5d6-efd2da010050</vt:lpwstr>
  </property>
</Properties>
</file>